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Binary Sentiment Classification with Logistic Regression</w:t>
      </w:r>
    </w:p>
    <w:p>
      <w:pPr>
        <w:spacing w:after="40"/>
        <w:jc w:val="center"/>
      </w:pPr>
      <w:r>
        <w:rPr>
          <w:color w:val="555555"/>
          <w:sz w:val="26"/>
          <w:szCs w:val="26"/>
        </w:rPr>
        <w:t xml:space="preserve">End-to-End Analysis Report — IMDB 50K Reviews Dataset</w:t>
      </w:r>
    </w:p>
    <w:p>
      <w:pPr>
        <w:spacing w:after="200"/>
        <w:jc w:val="center"/>
      </w:pPr>
      <w:r>
        <w:rPr>
          <w:i/>
          <w:iCs/>
          <w:color w:val="777777"/>
          <w:sz w:val="20"/>
          <w:szCs w:val="20"/>
        </w:rPr>
        <w:t xml:space="preserve">CS 420 — Machine Learning &amp; NLP  |  Algorithm: Logistic Regression  |  Loss: Binary Cross-Entropy  |  Seed: 42</w:t>
      </w:r>
    </w:p>
    <w:p>
      <w:pPr>
        <w:spacing w:after="200"/>
        <w:jc w:val="center"/>
      </w:pPr>
      <w:r>
        <w:drawing>
          <wp:inline distT="0" distB="0" distL="0" distR="0">
            <wp:extent cx="4381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05100"/>
                    </a:xfrm>
                    <a:prstGeom prst="rect">
                      <a:avLst/>
                    </a:prstGeom>
                  </pic:spPr>
                </pic:pic>
              </a:graphicData>
            </a:graphic>
          </wp:inline>
        </w:drawing>
      </w:r>
    </w:p>
    <w:p>
      <w:r>
        <w:br w:type="page"/>
      </w:r>
    </w:p>
    <w:p>
      <w:pPr>
        <w:pBdr>
          <w:bottom w:val="single" w:color="999999" w:sz="6" w:space="1"/>
        </w:pBdr>
        <w:spacing w:after="200"/>
      </w:pPr>
    </w:p>
    <w:p>
      <w:pPr>
        <w:pStyle w:val="Heading1"/>
        <w:spacing w:after="150" w:before="300"/>
      </w:pPr>
      <w:r>
        <w:t xml:space="preserve">1. Executive Summary</w:t>
      </w:r>
    </w:p>
    <w:p>
      <w:pPr>
        <w:spacing w:after="150"/>
      </w:pPr>
      <w:r>
        <w:t xml:space="preserve">This report documents an end-to-end sentiment classification pipeline built on the IMDB 50,000-review dataset. Raw review text was converted into Bag-of-Words (BoW) count features (10,000-word vocabulary) and used to train a Logistic Regression classifier that minimizes Binary Cross-Entropy (BCE) loss. The model was evaluated on a held-out 20% test set (10,000 reviews) and further cross-validated with an independent SQL-based analysis layer.</w:t>
      </w:r>
    </w:p>
    <w:p>
      <w:pPr>
        <w:spacing w:after="150"/>
      </w:pPr>
      <w:r>
        <w:t xml:space="preserve">Headline result: the model reaches 87.6% test accuracy and a 0.941 ROC-AUC, confirming that a simple linear BoW model already captures the large majority of lexical sentiment signal in movie reviews, while remaining vulnerable to sarcasm, negation, and long dark-themed plot summaries — as detailed in Section 5.</w:t>
      </w:r>
    </w:p>
    <w:p>
      <w:pPr>
        <w:pStyle w:val="Heading1"/>
        <w:spacing w:after="150" w:before="300"/>
      </w:pPr>
      <w:r>
        <w:t xml:space="preserve">2. Dataset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5496" w:val="clear"/>
          </w:tcPr>
          <w:p>
            <w:pPr>
              <w:jc w:val="center"/>
            </w:pPr>
            <w:r>
              <w:rPr>
                <w:b/>
                <w:bCs/>
                <w:color w:val="FFFFFF"/>
              </w:rPr>
              <w:t xml:space="preserve">Property</w:t>
            </w:r>
          </w:p>
        </w:tc>
        <w:tc>
          <w:tcPr>
            <w:tcW w:type="dxa" w:w="6000"/>
            <w:shd w:fill="2F5496" w:val="clear"/>
          </w:tcPr>
          <w:p>
            <w:pPr>
              <w:jc w:val="center"/>
            </w:pPr>
            <w:r>
              <w:rPr>
                <w:b/>
                <w:bCs/>
                <w:color w:val="FFFFFF"/>
              </w:rPr>
              <w:t xml:space="preserve">Value</w:t>
            </w:r>
          </w:p>
        </w:tc>
      </w:tr>
      <w:tr>
        <w:tc>
          <w:tcPr>
            <w:tcW w:type="dxa" w:w="3000"/>
          </w:tcPr>
          <w:p>
            <w:pPr>
              <w:jc w:val="center"/>
            </w:pPr>
            <w:r>
              <w:t xml:space="preserve">Total reviews</w:t>
            </w:r>
          </w:p>
        </w:tc>
        <w:tc>
          <w:tcPr>
            <w:tcW w:type="dxa" w:w="6000"/>
          </w:tcPr>
          <w:p>
            <w:pPr>
              <w:jc w:val="center"/>
            </w:pPr>
            <w:r>
              <w:t xml:space="preserve">50,000</w:t>
            </w:r>
          </w:p>
        </w:tc>
      </w:tr>
      <w:tr>
        <w:tc>
          <w:tcPr>
            <w:tcW w:type="dxa" w:w="3000"/>
          </w:tcPr>
          <w:p>
            <w:pPr>
              <w:jc w:val="center"/>
            </w:pPr>
            <w:r>
              <w:t xml:space="preserve">Positive / Negative split</w:t>
            </w:r>
          </w:p>
        </w:tc>
        <w:tc>
          <w:tcPr>
            <w:tcW w:type="dxa" w:w="6000"/>
          </w:tcPr>
          <w:p>
            <w:pPr>
              <w:jc w:val="center"/>
            </w:pPr>
            <w:r>
              <w:t xml:space="preserve">25,000 / 25,000 (perfectly balanced)</w:t>
            </w:r>
          </w:p>
        </w:tc>
      </w:tr>
      <w:tr>
        <w:tc>
          <w:tcPr>
            <w:tcW w:type="dxa" w:w="3000"/>
          </w:tcPr>
          <w:p>
            <w:pPr>
              <w:jc w:val="center"/>
            </w:pPr>
            <w:r>
              <w:t xml:space="preserve">Train / Test split</w:t>
            </w:r>
          </w:p>
        </w:tc>
        <w:tc>
          <w:tcPr>
            <w:tcW w:type="dxa" w:w="6000"/>
          </w:tcPr>
          <w:p>
            <w:pPr>
              <w:jc w:val="center"/>
            </w:pPr>
            <w:r>
              <w:t xml:space="preserve">40,000 / 10,000 (80% / 20%, stratified, seed = 42)</w:t>
            </w:r>
          </w:p>
        </w:tc>
      </w:tr>
      <w:tr>
        <w:tc>
          <w:tcPr>
            <w:tcW w:type="dxa" w:w="3000"/>
          </w:tcPr>
          <w:p>
            <w:pPr>
              <w:jc w:val="center"/>
            </w:pPr>
            <w:r>
              <w:t xml:space="preserve">Feature representation</w:t>
            </w:r>
          </w:p>
        </w:tc>
        <w:tc>
          <w:tcPr>
            <w:tcW w:type="dxa" w:w="6000"/>
          </w:tcPr>
          <w:p>
            <w:pPr>
              <w:jc w:val="center"/>
            </w:pPr>
            <w:r>
              <w:t xml:space="preserve">Bag-of-Words, CountVectorizer, max_features = 10,000</w:t>
            </w:r>
          </w:p>
        </w:tc>
      </w:tr>
      <w:tr>
        <w:tc>
          <w:tcPr>
            <w:tcW w:type="dxa" w:w="3000"/>
          </w:tcPr>
          <w:p>
            <w:pPr>
              <w:jc w:val="center"/>
            </w:pPr>
            <w:r>
              <w:t xml:space="preserve">Preprocessing</w:t>
            </w:r>
          </w:p>
        </w:tc>
        <w:tc>
          <w:tcPr>
            <w:tcW w:type="dxa" w:w="6000"/>
          </w:tcPr>
          <w:p>
            <w:pPr>
              <w:jc w:val="center"/>
            </w:pPr>
            <w:r>
              <w:t xml:space="preserve">HTML tag removal, lowercasing, non-letter stripping, English stop-word removal</w:t>
            </w:r>
          </w:p>
        </w:tc>
      </w:tr>
    </w:tbl>
    <w:p>
      <w:pPr>
        <w:pStyle w:val="Heading1"/>
        <w:spacing w:after="150" w:before="300"/>
      </w:pPr>
      <w:r>
        <w:t xml:space="preserve">3. Project Pipeline</w:t>
      </w:r>
    </w:p>
    <w:p>
      <w:pPr>
        <w:spacing w:after="150"/>
      </w:pPr>
      <w:r>
        <w:t xml:space="preserve">The end-to-end pipeline used in this project is summarized below: raw reviews are cleaned and vectorized, the logistic regression model is trained under Binary Cross-Entropy loss, the model is evaluated and interpreted, and results are cross-checked through an independent SQL layer.</w:t>
      </w:r>
    </w:p>
    <w:p>
      <w:pPr>
        <w:spacing w:after="200"/>
        <w:jc w:val="center"/>
      </w:pPr>
      <w:r>
        <w:drawing>
          <wp:inline distT="0" distB="0" distL="0" distR="0">
            <wp:extent cx="3619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981325"/>
                    </a:xfrm>
                    <a:prstGeom prst="rect">
                      <a:avLst/>
                    </a:prstGeom>
                  </pic:spPr>
                </pic:pic>
              </a:graphicData>
            </a:graphic>
          </wp:inline>
        </w:drawing>
      </w:r>
    </w:p>
    <w:p>
      <w:pPr>
        <w:pStyle w:val="Heading1"/>
        <w:spacing w:after="150" w:before="300"/>
      </w:pPr>
      <w:r>
        <w:t xml:space="preserve">4. Model Training</w:t>
      </w:r>
    </w:p>
    <w:p>
      <w:pPr>
        <w:spacing w:after="150"/>
      </w:pPr>
      <w:r>
        <w:t xml:space="preserve">The Logistic Regression model (solver = lbfgs) was trained on the 40,000-review training split. Training loss was tracked across increasing optimizer iterations to verify convergence to a stable minimum, shown below.</w:t>
      </w:r>
    </w:p>
    <w:p>
      <w:pPr>
        <w:spacing w:after="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333750"/>
                    </a:xfrm>
                    <a:prstGeom prst="rect">
                      <a:avLst/>
                    </a:prstGeom>
                  </pic:spPr>
                </pic:pic>
              </a:graphicData>
            </a:graphic>
          </wp:inline>
        </w:drawing>
      </w:r>
    </w:p>
    <w:p>
      <w:pPr>
        <w:spacing w:after="150"/>
      </w:pPr>
      <w:r>
        <w:t xml:space="preserve">The loss drops sharply within the first ~15 iterations and flattens near 0.095, confirming the optimizer converged to a stable minimum well before the 1,000-iteration budget used for the final model.</w:t>
      </w:r>
    </w:p>
    <w:p>
      <w:pPr>
        <w:pStyle w:val="Heading1"/>
        <w:spacing w:after="150" w:before="300"/>
      </w:pPr>
      <w:r>
        <w:t xml:space="preserve">5. Test-Set Evaluation (threshold =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2F5496" w:val="clear"/>
          </w:tcPr>
          <w:p>
            <w:pPr>
              <w:jc w:val="center"/>
            </w:pPr>
            <w:r>
              <w:rPr>
                <w:b/>
                <w:bCs/>
                <w:color w:val="FFFFFF"/>
              </w:rPr>
              <w:t xml:space="preserve">Metric</w:t>
            </w:r>
          </w:p>
        </w:tc>
        <w:tc>
          <w:tcPr>
            <w:tcW w:type="dxa" w:w="5000"/>
            <w:shd w:fill="2F5496" w:val="clear"/>
          </w:tcPr>
          <w:p>
            <w:pPr>
              <w:jc w:val="center"/>
            </w:pPr>
            <w:r>
              <w:rPr>
                <w:b/>
                <w:bCs/>
                <w:color w:val="FFFFFF"/>
              </w:rPr>
              <w:t xml:space="preserve">Value</w:t>
            </w:r>
          </w:p>
        </w:tc>
      </w:tr>
      <w:tr>
        <w:tc>
          <w:tcPr>
            <w:tcW w:type="dxa" w:w="4000"/>
          </w:tcPr>
          <w:p>
            <w:pPr>
              <w:jc w:val="center"/>
            </w:pPr>
            <w:r>
              <w:t xml:space="preserve">Test BCE (Log Loss)</w:t>
            </w:r>
          </w:p>
        </w:tc>
        <w:tc>
          <w:tcPr>
            <w:tcW w:type="dxa" w:w="5000"/>
          </w:tcPr>
          <w:p>
            <w:pPr>
              <w:jc w:val="center"/>
            </w:pPr>
            <w:r>
              <w:t xml:space="preserve">0.3993</w:t>
            </w:r>
          </w:p>
        </w:tc>
      </w:tr>
      <w:tr>
        <w:tc>
          <w:tcPr>
            <w:tcW w:type="dxa" w:w="4000"/>
          </w:tcPr>
          <w:p>
            <w:pPr>
              <w:jc w:val="center"/>
            </w:pPr>
            <w:r>
              <w:t xml:space="preserve">Accuracy</w:t>
            </w:r>
          </w:p>
        </w:tc>
        <w:tc>
          <w:tcPr>
            <w:tcW w:type="dxa" w:w="5000"/>
          </w:tcPr>
          <w:p>
            <w:pPr>
              <w:jc w:val="center"/>
            </w:pPr>
            <w:r>
              <w:t xml:space="preserve">87.62%</w:t>
            </w:r>
          </w:p>
        </w:tc>
      </w:tr>
      <w:tr>
        <w:tc>
          <w:tcPr>
            <w:tcW w:type="dxa" w:w="4000"/>
          </w:tcPr>
          <w:p>
            <w:pPr>
              <w:jc w:val="center"/>
            </w:pPr>
            <w:r>
              <w:t xml:space="preserve">Precision</w:t>
            </w:r>
          </w:p>
        </w:tc>
        <w:tc>
          <w:tcPr>
            <w:tcW w:type="dxa" w:w="5000"/>
          </w:tcPr>
          <w:p>
            <w:pPr>
              <w:jc w:val="center"/>
            </w:pPr>
            <w:r>
              <w:t xml:space="preserve">87.44%</w:t>
            </w:r>
          </w:p>
        </w:tc>
      </w:tr>
      <w:tr>
        <w:tc>
          <w:tcPr>
            <w:tcW w:type="dxa" w:w="4000"/>
          </w:tcPr>
          <w:p>
            <w:pPr>
              <w:jc w:val="center"/>
            </w:pPr>
            <w:r>
              <w:t xml:space="preserve">Recall</w:t>
            </w:r>
          </w:p>
        </w:tc>
        <w:tc>
          <w:tcPr>
            <w:tcW w:type="dxa" w:w="5000"/>
          </w:tcPr>
          <w:p>
            <w:pPr>
              <w:jc w:val="center"/>
            </w:pPr>
            <w:r>
              <w:t xml:space="preserve">87.86%</w:t>
            </w:r>
          </w:p>
        </w:tc>
      </w:tr>
      <w:tr>
        <w:tc>
          <w:tcPr>
            <w:tcW w:type="dxa" w:w="4000"/>
          </w:tcPr>
          <w:p>
            <w:pPr>
              <w:jc w:val="center"/>
            </w:pPr>
            <w:r>
              <w:t xml:space="preserve">F1-Score</w:t>
            </w:r>
          </w:p>
        </w:tc>
        <w:tc>
          <w:tcPr>
            <w:tcW w:type="dxa" w:w="5000"/>
          </w:tcPr>
          <w:p>
            <w:pPr>
              <w:jc w:val="center"/>
            </w:pPr>
            <w:r>
              <w:t xml:space="preserve">87.65%</w:t>
            </w:r>
          </w:p>
        </w:tc>
      </w:tr>
      <w:tr>
        <w:tc>
          <w:tcPr>
            <w:tcW w:type="dxa" w:w="4000"/>
          </w:tcPr>
          <w:p>
            <w:pPr>
              <w:jc w:val="center"/>
            </w:pPr>
            <w:r>
              <w:t xml:space="preserve">ROC-AUC</w:t>
            </w:r>
          </w:p>
        </w:tc>
        <w:tc>
          <w:tcPr>
            <w:tcW w:type="dxa" w:w="5000"/>
          </w:tcPr>
          <w:p>
            <w:pPr>
              <w:jc w:val="center"/>
            </w:pPr>
            <w:r>
              <w:t xml:space="preserve">0.9410</w:t>
            </w:r>
          </w:p>
        </w:tc>
      </w:tr>
    </w:tbl>
    <w:p>
      <w:pPr>
        <w:spacing w:before="200"/>
      </w:pPr>
    </w:p>
    <w:p>
      <w:pPr>
        <w:pStyle w:val="Heading2"/>
        <w:spacing w:after="100" w:before="200"/>
      </w:pPr>
      <w:r>
        <w:t xml:space="preserve">4.1 Confusion Matrix</w:t>
      </w:r>
    </w:p>
    <w:p>
      <w:pPr>
        <w:spacing w:after="20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143250"/>
                    </a:xfrm>
                    <a:prstGeom prst="rect">
                      <a:avLst/>
                    </a:prstGeom>
                  </pic:spPr>
                </pic:pic>
              </a:graphicData>
            </a:graphic>
          </wp:inline>
        </w:drawing>
      </w:r>
    </w:p>
    <w:p>
      <w:pPr>
        <w:spacing w:after="150"/>
      </w:pPr>
      <w:r>
        <w:t xml:space="preserve">Of 5,000 negative test reviews, 4,369 were correctly classified and 631 were false positives. Of 5,000 positive test reviews, 4,393 were correctly classified and 607 were false negatives — the model is essentially balanced between the two error types, consistent with the balanced training data.</w:t>
      </w:r>
    </w:p>
    <w:p>
      <w:pPr>
        <w:pStyle w:val="Heading2"/>
        <w:spacing w:after="100" w:before="200"/>
      </w:pPr>
      <w:r>
        <w:t xml:space="preserve">4.2 Threshold Experiment</w:t>
      </w:r>
    </w:p>
    <w:p>
      <w:pPr>
        <w:spacing w:after="150"/>
      </w:pPr>
      <w:r>
        <w:t xml:space="preserve">Precision and Recall were recomputed at three probability thresholds to illustrate the standard precision/recall trade-off: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F5496" w:val="clear"/>
          </w:tcPr>
          <w:p>
            <w:pPr>
              <w:jc w:val="center"/>
            </w:pPr>
            <w:r>
              <w:rPr>
                <w:b/>
                <w:bCs/>
                <w:color w:val="FFFFFF"/>
              </w:rPr>
              <w:t xml:space="preserve">Threshold (τ)</w:t>
            </w:r>
          </w:p>
        </w:tc>
        <w:tc>
          <w:tcPr>
            <w:tcW w:type="dxa" w:w="2250"/>
            <w:shd w:fill="2F5496" w:val="clear"/>
          </w:tcPr>
          <w:p>
            <w:pPr>
              <w:jc w:val="center"/>
            </w:pPr>
            <w:r>
              <w:rPr>
                <w:b/>
                <w:bCs/>
                <w:color w:val="FFFFFF"/>
              </w:rPr>
              <w:t xml:space="preserve">Precision</w:t>
            </w:r>
          </w:p>
        </w:tc>
        <w:tc>
          <w:tcPr>
            <w:tcW w:type="dxa" w:w="2250"/>
            <w:shd w:fill="2F5496" w:val="clear"/>
          </w:tcPr>
          <w:p>
            <w:pPr>
              <w:jc w:val="center"/>
            </w:pPr>
            <w:r>
              <w:rPr>
                <w:b/>
                <w:bCs/>
                <w:color w:val="FFFFFF"/>
              </w:rPr>
              <w:t xml:space="preserve">Recall</w:t>
            </w:r>
          </w:p>
        </w:tc>
        <w:tc>
          <w:tcPr>
            <w:tcW w:type="dxa" w:w="2250"/>
            <w:shd w:fill="2F5496" w:val="clear"/>
          </w:tcPr>
          <w:p>
            <w:pPr>
              <w:jc w:val="center"/>
            </w:pPr>
            <w:r>
              <w:rPr>
                <w:b/>
                <w:bCs/>
                <w:color w:val="FFFFFF"/>
              </w:rPr>
              <w:t xml:space="preserve">F1</w:t>
            </w:r>
          </w:p>
        </w:tc>
      </w:tr>
      <w:tr>
        <w:tc>
          <w:tcPr>
            <w:tcW w:type="dxa" w:w="2250"/>
          </w:tcPr>
          <w:p>
            <w:pPr>
              <w:jc w:val="center"/>
            </w:pPr>
            <w:r>
              <w:t xml:space="preserve">0.3</w:t>
            </w:r>
          </w:p>
        </w:tc>
        <w:tc>
          <w:tcPr>
            <w:tcW w:type="dxa" w:w="2250"/>
          </w:tcPr>
          <w:p>
            <w:pPr>
              <w:jc w:val="center"/>
            </w:pPr>
            <w:r>
              <w:t xml:space="preserve">0.8413</w:t>
            </w:r>
          </w:p>
        </w:tc>
        <w:tc>
          <w:tcPr>
            <w:tcW w:type="dxa" w:w="2250"/>
          </w:tcPr>
          <w:p>
            <w:pPr>
              <w:jc w:val="center"/>
            </w:pPr>
            <w:r>
              <w:t xml:space="preserve">0.9140</w:t>
            </w:r>
          </w:p>
        </w:tc>
        <w:tc>
          <w:tcPr>
            <w:tcW w:type="dxa" w:w="2250"/>
          </w:tcPr>
          <w:p>
            <w:pPr>
              <w:jc w:val="center"/>
            </w:pPr>
            <w:r>
              <w:t xml:space="preserve">0.8762</w:t>
            </w:r>
          </w:p>
        </w:tc>
      </w:tr>
      <w:tr>
        <w:tc>
          <w:tcPr>
            <w:tcW w:type="dxa" w:w="2250"/>
          </w:tcPr>
          <w:p>
            <w:pPr>
              <w:jc w:val="center"/>
            </w:pPr>
            <w:r>
              <w:t xml:space="preserve">0.5</w:t>
            </w:r>
          </w:p>
        </w:tc>
        <w:tc>
          <w:tcPr>
            <w:tcW w:type="dxa" w:w="2250"/>
          </w:tcPr>
          <w:p>
            <w:pPr>
              <w:jc w:val="center"/>
            </w:pPr>
            <w:r>
              <w:t xml:space="preserve">0.8744</w:t>
            </w:r>
          </w:p>
        </w:tc>
        <w:tc>
          <w:tcPr>
            <w:tcW w:type="dxa" w:w="2250"/>
          </w:tcPr>
          <w:p>
            <w:pPr>
              <w:jc w:val="center"/>
            </w:pPr>
            <w:r>
              <w:t xml:space="preserve">0.8786</w:t>
            </w:r>
          </w:p>
        </w:tc>
        <w:tc>
          <w:tcPr>
            <w:tcW w:type="dxa" w:w="2250"/>
          </w:tcPr>
          <w:p>
            <w:pPr>
              <w:jc w:val="center"/>
            </w:pPr>
            <w:r>
              <w:t xml:space="preserve">0.8765</w:t>
            </w:r>
          </w:p>
        </w:tc>
      </w:tr>
      <w:tr>
        <w:tc>
          <w:tcPr>
            <w:tcW w:type="dxa" w:w="2250"/>
          </w:tcPr>
          <w:p>
            <w:pPr>
              <w:jc w:val="center"/>
            </w:pPr>
            <w:r>
              <w:t xml:space="preserve">0.7</w:t>
            </w:r>
          </w:p>
        </w:tc>
        <w:tc>
          <w:tcPr>
            <w:tcW w:type="dxa" w:w="2250"/>
          </w:tcPr>
          <w:p>
            <w:pPr>
              <w:jc w:val="center"/>
            </w:pPr>
            <w:r>
              <w:t xml:space="preserve">0.8998</w:t>
            </w:r>
          </w:p>
        </w:tc>
        <w:tc>
          <w:tcPr>
            <w:tcW w:type="dxa" w:w="2250"/>
          </w:tcPr>
          <w:p>
            <w:pPr>
              <w:jc w:val="center"/>
            </w:pPr>
            <w:r>
              <w:t xml:space="preserve">0.8302</w:t>
            </w:r>
          </w:p>
        </w:tc>
        <w:tc>
          <w:tcPr>
            <w:tcW w:type="dxa" w:w="2250"/>
          </w:tcPr>
          <w:p>
            <w:pPr>
              <w:jc w:val="center"/>
            </w:pPr>
            <w:r>
              <w:t xml:space="preserve">0.8636</w:t>
            </w:r>
          </w:p>
        </w:tc>
      </w:tr>
    </w:tbl>
    <w:p>
      <w:pPr>
        <w:spacing w:after="150"/>
      </w:pPr>
      <w:r>
        <w:t xml:space="preserve">Lowering τ to 0.3 favors Recall (0.914) over Precision (0.841) — appropriate for a use case such as a complaint/crisis-detection filter, where missing a genuinely negative review (a false negative) is costlier than a handful of extra false alarms.</w:t>
      </w:r>
    </w:p>
    <w:p>
      <w:pPr>
        <w:pStyle w:val="Heading1"/>
        <w:spacing w:after="150" w:before="300"/>
      </w:pPr>
      <w:r>
        <w:t xml:space="preserve">6. Error Analysis</w:t>
      </w:r>
    </w:p>
    <w:p>
      <w:pPr>
        <w:spacing w:after="150"/>
      </w:pPr>
      <w:r>
        <w:t xml:space="preserve">Manual inspection of the model's most confident mistakes reveals two recurring failure patterns, both direct consequences of the Bag-of-Words assumption (no word order, no negation handling):</w:t>
      </w:r>
    </w:p>
    <w:p>
      <w:pPr>
        <w:pStyle w:val="ListParagraph"/>
        <w:numPr>
          <w:ilvl w:val="0"/>
          <w:numId w:val="1"/>
        </w:numPr>
        <w:spacing w:after="60"/>
      </w:pPr>
      <w:r>
        <w:t xml:space="preserve">False Positives: negative reviews that use strongly positive vocabulary sarcastically, or that favorably compare the reviewed film to another one before criticizing it — the model has no mechanism to detect sarcasm or track which entity a word refers to.</w:t>
      </w:r>
    </w:p>
    <w:p>
      <w:pPr>
        <w:pStyle w:val="ListParagraph"/>
        <w:numPr>
          <w:ilvl w:val="0"/>
          <w:numId w:val="1"/>
        </w:numPr>
        <w:spacing w:after="60"/>
      </w:pPr>
      <w:r>
        <w:t xml:space="preserve">False Negatives: positive reviews (often for horror, war, or tragedy films) whose plot description uses many negative-coded words ("death", "brutal", "terrifying"), which numerically outweigh a short but decisive positive verdict such as "a masterpiece."</w:t>
      </w:r>
    </w:p>
    <w:p>
      <w:pPr>
        <w:spacing w:after="150"/>
      </w:pPr>
      <w:r>
        <w:t xml:space="preserve">This same limitation shows up in the three custom benchmark predictions: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c>
          <w:tcPr>
            <w:tcW w:type="dxa" w:w="5400"/>
            <w:shd w:fill="2F5496" w:val="clear"/>
          </w:tcPr>
          <w:p>
            <w:pPr>
              <w:jc w:val="center"/>
            </w:pPr>
            <w:r>
              <w:rPr>
                <w:b/>
                <w:bCs/>
                <w:color w:val="FFFFFF"/>
              </w:rPr>
              <w:t xml:space="preserve">Review</w:t>
            </w:r>
          </w:p>
        </w:tc>
        <w:tc>
          <w:tcPr>
            <w:tcW w:type="dxa" w:w="1800"/>
            <w:shd w:fill="2F5496" w:val="clear"/>
          </w:tcPr>
          <w:p>
            <w:pPr>
              <w:jc w:val="center"/>
            </w:pPr>
            <w:r>
              <w:rPr>
                <w:b/>
                <w:bCs/>
                <w:color w:val="FFFFFF"/>
              </w:rPr>
              <w:t xml:space="preserve">Predicted</w:t>
            </w:r>
          </w:p>
        </w:tc>
        <w:tc>
          <w:tcPr>
            <w:tcW w:type="dxa" w:w="1800"/>
            <w:shd w:fill="2F5496" w:val="clear"/>
          </w:tcPr>
          <w:p>
            <w:pPr>
              <w:jc w:val="center"/>
            </w:pPr>
            <w:r>
              <w:rPr>
                <w:b/>
                <w:bCs/>
                <w:color w:val="FFFFFF"/>
              </w:rPr>
              <w:t xml:space="preserve">P(positive)</w:t>
            </w:r>
          </w:p>
        </w:tc>
      </w:tr>
      <w:tr>
        <w:tc>
          <w:tcPr>
            <w:tcW w:type="dxa" w:w="5400"/>
          </w:tcPr>
          <w:p>
            <w:pPr>
              <w:jc w:val="center"/>
            </w:pPr>
            <w:r>
              <w:t xml:space="preserve">"An absolute triumph of cinema with breathtaking visuals and stellar acting."</w:t>
            </w:r>
          </w:p>
        </w:tc>
        <w:tc>
          <w:tcPr>
            <w:tcW w:type="dxa" w:w="1800"/>
          </w:tcPr>
          <w:p>
            <w:pPr>
              <w:jc w:val="center"/>
            </w:pPr>
            <w:r>
              <w:t xml:space="preserve">Positive</w:t>
            </w:r>
          </w:p>
        </w:tc>
        <w:tc>
          <w:tcPr>
            <w:tcW w:type="dxa" w:w="1800"/>
          </w:tcPr>
          <w:p>
            <w:pPr>
              <w:jc w:val="center"/>
            </w:pPr>
            <w:r>
              <w:t xml:space="preserve">0.7129</w:t>
            </w:r>
          </w:p>
        </w:tc>
      </w:tr>
      <w:tr>
        <w:tc>
          <w:tcPr>
            <w:tcW w:type="dxa" w:w="5400"/>
          </w:tcPr>
          <w:p>
            <w:pPr>
              <w:jc w:val="center"/>
            </w:pPr>
            <w:r>
              <w:t xml:space="preserve">"I thoroughly enjoyed wasting two hours of my life staring at a completely incoherent plot." (sarcasm)</w:t>
            </w:r>
          </w:p>
        </w:tc>
        <w:tc>
          <w:tcPr>
            <w:tcW w:type="dxa" w:w="1800"/>
          </w:tcPr>
          <w:p>
            <w:pPr>
              <w:jc w:val="center"/>
            </w:pPr>
            <w:r>
              <w:t xml:space="preserve">Negative</w:t>
            </w:r>
          </w:p>
        </w:tc>
        <w:tc>
          <w:tcPr>
            <w:tcW w:type="dxa" w:w="1800"/>
          </w:tcPr>
          <w:p>
            <w:pPr>
              <w:jc w:val="center"/>
            </w:pPr>
            <w:r>
              <w:t xml:space="preserve">0.2022</w:t>
            </w:r>
          </w:p>
        </w:tc>
      </w:tr>
      <w:tr>
        <w:tc>
          <w:tcPr>
            <w:tcW w:type="dxa" w:w="5400"/>
          </w:tcPr>
          <w:p>
            <w:pPr>
              <w:jc w:val="center"/>
            </w:pPr>
            <w:r>
              <w:t xml:space="preserve">"The cinematography was not bad, but the pacing was not good either." (double negation)</w:t>
            </w:r>
          </w:p>
        </w:tc>
        <w:tc>
          <w:tcPr>
            <w:tcW w:type="dxa" w:w="1800"/>
          </w:tcPr>
          <w:p>
            <w:pPr>
              <w:jc w:val="center"/>
            </w:pPr>
            <w:r>
              <w:t xml:space="preserve">Negative</w:t>
            </w:r>
          </w:p>
        </w:tc>
        <w:tc>
          <w:tcPr>
            <w:tcW w:type="dxa" w:w="1800"/>
          </w:tcPr>
          <w:p>
            <w:pPr>
              <w:jc w:val="center"/>
            </w:pPr>
            <w:r>
              <w:t xml:space="preserve">0.3276</w:t>
            </w:r>
          </w:p>
        </w:tc>
      </w:tr>
    </w:tbl>
    <w:p>
      <w:pPr>
        <w:spacing w:after="150"/>
      </w:pPr>
      <w:r>
        <w:t xml:space="preserve">Case 2 and case 3 sit noticeably closer to the 0.5 decision boundary than case 1 — the model is measurably less confident precisely where BoW's word-order-blindness is exposed.</w:t>
      </w:r>
    </w:p>
    <w:p>
      <w:pPr>
        <w:pStyle w:val="Heading1"/>
        <w:spacing w:after="150" w:before="300"/>
      </w:pPr>
      <w:r>
        <w:t xml:space="preserve">7. Model Interpretability</w:t>
      </w:r>
    </w:p>
    <w:p>
      <w:pPr>
        <w:spacing w:after="150"/>
      </w:pPr>
      <w:r>
        <w:t xml:space="preserve">The 10 largest positive and negative learned weights are shown below:</w:t>
      </w:r>
    </w:p>
    <w:p>
      <w:pPr>
        <w:spacing w:after="20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95500"/>
                    </a:xfrm>
                    <a:prstGeom prst="rect">
                      <a:avLst/>
                    </a:prstGeom>
                  </pic:spPr>
                </pic:pic>
              </a:graphicData>
            </a:graphic>
          </wp:inline>
        </w:drawing>
      </w:r>
    </w:p>
    <w:p>
      <w:pPr>
        <w:spacing w:after="150"/>
      </w:pPr>
      <w:r>
        <w:t xml:space="preserve">Most negative-weighted words are intuitive, unambiguous sentiment words ("waste", "disappointing", "forgettable", "worst"). Interestingly, a few words that sound negative in isolation — "dismiss" and "disappoint" — appear among the top positive weights. This is a direct, visible symptom of the BoW negation problem discussed in Section 5: these words most often co-occur in the training data inside phrases like "never disappoints" or "doesn't dismiss," so the model has learned a positive association with the bare token despite its negative surface meaning.</w:t>
      </w:r>
    </w:p>
    <w:p>
      <w:pPr>
        <w:pStyle w:val="Heading1"/>
        <w:spacing w:after="150" w:before="300"/>
      </w:pPr>
      <w:r>
        <w:t xml:space="preserve">8. Independent SQL-Based Verification</w:t>
      </w:r>
    </w:p>
    <w:p>
      <w:pPr>
        <w:spacing w:after="150"/>
      </w:pPr>
      <w:r>
        <w:t xml:space="preserve">The full set of 10,000 test predictions was exported into a SQLite table (predictions) with columns review, true_label, pred_label, and proba. The confusion matrix and core metrics were then recomputed with pure SQL aggregate queries as a cross-check of the Python/scikit-learn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2F5496" w:val="clear"/>
          </w:tcPr>
          <w:p>
            <w:pPr>
              <w:jc w:val="center"/>
            </w:pPr>
            <w:r>
              <w:rPr>
                <w:b/>
                <w:bCs/>
                <w:color w:val="FFFFFF"/>
              </w:rPr>
              <w:t xml:space="preserve">tp</w:t>
            </w:r>
          </w:p>
        </w:tc>
        <w:tc>
          <w:tcPr>
            <w:tcW w:type="dxa" w:w="1285"/>
            <w:shd w:fill="2F5496" w:val="clear"/>
          </w:tcPr>
          <w:p>
            <w:pPr>
              <w:jc w:val="center"/>
            </w:pPr>
            <w:r>
              <w:rPr>
                <w:b/>
                <w:bCs/>
                <w:color w:val="FFFFFF"/>
              </w:rPr>
              <w:t xml:space="preserve">fp</w:t>
            </w:r>
          </w:p>
        </w:tc>
        <w:tc>
          <w:tcPr>
            <w:tcW w:type="dxa" w:w="1285"/>
            <w:shd w:fill="2F5496" w:val="clear"/>
          </w:tcPr>
          <w:p>
            <w:pPr>
              <w:jc w:val="center"/>
            </w:pPr>
            <w:r>
              <w:rPr>
                <w:b/>
                <w:bCs/>
                <w:color w:val="FFFFFF"/>
              </w:rPr>
              <w:t xml:space="preserve">fn</w:t>
            </w:r>
          </w:p>
        </w:tc>
        <w:tc>
          <w:tcPr>
            <w:tcW w:type="dxa" w:w="1285"/>
            <w:shd w:fill="2F5496" w:val="clear"/>
          </w:tcPr>
          <w:p>
            <w:pPr>
              <w:jc w:val="center"/>
            </w:pPr>
            <w:r>
              <w:rPr>
                <w:b/>
                <w:bCs/>
                <w:color w:val="FFFFFF"/>
              </w:rPr>
              <w:t xml:space="preserve">tn</w:t>
            </w:r>
          </w:p>
        </w:tc>
        <w:tc>
          <w:tcPr>
            <w:tcW w:type="dxa" w:w="1285"/>
            <w:shd w:fill="2F5496" w:val="clear"/>
          </w:tcPr>
          <w:p>
            <w:pPr>
              <w:jc w:val="center"/>
            </w:pPr>
            <w:r>
              <w:rPr>
                <w:b/>
                <w:bCs/>
                <w:color w:val="FFFFFF"/>
              </w:rPr>
              <w:t xml:space="preserve">accuracy</w:t>
            </w:r>
          </w:p>
        </w:tc>
        <w:tc>
          <w:tcPr>
            <w:tcW w:type="dxa" w:w="1285"/>
            <w:shd w:fill="2F5496" w:val="clear"/>
          </w:tcPr>
          <w:p>
            <w:pPr>
              <w:jc w:val="center"/>
            </w:pPr>
            <w:r>
              <w:rPr>
                <w:b/>
                <w:bCs/>
                <w:color w:val="FFFFFF"/>
              </w:rPr>
              <w:t xml:space="preserve">precision</w:t>
            </w:r>
          </w:p>
        </w:tc>
        <w:tc>
          <w:tcPr>
            <w:tcW w:type="dxa" w:w="1285"/>
            <w:shd w:fill="2F5496" w:val="clear"/>
          </w:tcPr>
          <w:p>
            <w:pPr>
              <w:jc w:val="center"/>
            </w:pPr>
            <w:r>
              <w:rPr>
                <w:b/>
                <w:bCs/>
                <w:color w:val="FFFFFF"/>
              </w:rPr>
              <w:t xml:space="preserve">recall</w:t>
            </w:r>
          </w:p>
        </w:tc>
      </w:tr>
      <w:tr>
        <w:tc>
          <w:tcPr>
            <w:tcW w:type="dxa" w:w="1285"/>
          </w:tcPr>
          <w:p>
            <w:pPr>
              <w:jc w:val="center"/>
            </w:pPr>
            <w:r>
              <w:t xml:space="preserve">4393</w:t>
            </w:r>
          </w:p>
        </w:tc>
        <w:tc>
          <w:tcPr>
            <w:tcW w:type="dxa" w:w="1285"/>
          </w:tcPr>
          <w:p>
            <w:pPr>
              <w:jc w:val="center"/>
            </w:pPr>
            <w:r>
              <w:t xml:space="preserve">631</w:t>
            </w:r>
          </w:p>
        </w:tc>
        <w:tc>
          <w:tcPr>
            <w:tcW w:type="dxa" w:w="1285"/>
          </w:tcPr>
          <w:p>
            <w:pPr>
              <w:jc w:val="center"/>
            </w:pPr>
            <w:r>
              <w:t xml:space="preserve">607</w:t>
            </w:r>
          </w:p>
        </w:tc>
        <w:tc>
          <w:tcPr>
            <w:tcW w:type="dxa" w:w="1285"/>
          </w:tcPr>
          <w:p>
            <w:pPr>
              <w:jc w:val="center"/>
            </w:pPr>
            <w:r>
              <w:t xml:space="preserve">4369</w:t>
            </w:r>
          </w:p>
        </w:tc>
        <w:tc>
          <w:tcPr>
            <w:tcW w:type="dxa" w:w="1285"/>
          </w:tcPr>
          <w:p>
            <w:pPr>
              <w:jc w:val="center"/>
            </w:pPr>
            <w:r>
              <w:t xml:space="preserve">0.8762</w:t>
            </w:r>
          </w:p>
        </w:tc>
        <w:tc>
          <w:tcPr>
            <w:tcW w:type="dxa" w:w="1285"/>
          </w:tcPr>
          <w:p>
            <w:pPr>
              <w:jc w:val="center"/>
            </w:pPr>
            <w:r>
              <w:t xml:space="preserve">0.8744</w:t>
            </w:r>
          </w:p>
        </w:tc>
        <w:tc>
          <w:tcPr>
            <w:tcW w:type="dxa" w:w="1285"/>
          </w:tcPr>
          <w:p>
            <w:pPr>
              <w:jc w:val="center"/>
            </w:pPr>
            <w:r>
              <w:t xml:space="preserve">0.8786</w:t>
            </w:r>
          </w:p>
        </w:tc>
      </w:tr>
    </w:tbl>
    <w:p>
      <w:pPr>
        <w:spacing w:after="150"/>
      </w:pPr>
      <w:r>
        <w:t xml:space="preserve">The SQL-derived accuracy (0.8762), precision (0.8744), and recall (0.8786) match the scikit-learn results exactly, confirming the evaluation pipeline is internally consistent.</w:t>
      </w:r>
    </w:p>
    <w:p>
      <w:pPr>
        <w:spacing w:after="150"/>
      </w:pPr>
      <w:r>
        <w:t xml:space="preserve">A second query computed the average predicted probability grouped by true class, as a simple calibration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pPr>
              <w:jc w:val="center"/>
            </w:pPr>
            <w:r>
              <w:rPr>
                <w:b/>
                <w:bCs/>
                <w:color w:val="FFFFFF"/>
              </w:rPr>
              <w:t xml:space="preserve">True Label</w:t>
            </w:r>
          </w:p>
        </w:tc>
        <w:tc>
          <w:tcPr>
            <w:tcW w:type="dxa" w:w="3000"/>
            <w:shd w:fill="2F5496" w:val="clear"/>
          </w:tcPr>
          <w:p>
            <w:pPr>
              <w:jc w:val="center"/>
            </w:pPr>
            <w:r>
              <w:rPr>
                <w:b/>
                <w:bCs/>
                <w:color w:val="FFFFFF"/>
              </w:rPr>
              <w:t xml:space="preserve">Avg. Predicted P(positive)</w:t>
            </w:r>
          </w:p>
        </w:tc>
        <w:tc>
          <w:tcPr>
            <w:tcW w:type="dxa" w:w="3000"/>
            <w:shd w:fill="2F5496" w:val="clear"/>
          </w:tcPr>
          <w:p>
            <w:pPr>
              <w:jc w:val="center"/>
            </w:pPr>
            <w:r>
              <w:rPr>
                <w:b/>
                <w:bCs/>
                <w:color w:val="FFFFFF"/>
              </w:rPr>
              <w:t xml:space="preserve"># Reviews</w:t>
            </w:r>
          </w:p>
        </w:tc>
      </w:tr>
      <w:tr>
        <w:tc>
          <w:tcPr>
            <w:tcW w:type="dxa" w:w="3000"/>
          </w:tcPr>
          <w:p>
            <w:pPr>
              <w:jc w:val="center"/>
            </w:pPr>
            <w:r>
              <w:t xml:space="preserve">0 (Negative)</w:t>
            </w:r>
          </w:p>
        </w:tc>
        <w:tc>
          <w:tcPr>
            <w:tcW w:type="dxa" w:w="3000"/>
          </w:tcPr>
          <w:p>
            <w:pPr>
              <w:jc w:val="center"/>
            </w:pPr>
            <w:r>
              <w:t xml:space="preserve">0.1466</w:t>
            </w:r>
          </w:p>
        </w:tc>
        <w:tc>
          <w:tcPr>
            <w:tcW w:type="dxa" w:w="3000"/>
          </w:tcPr>
          <w:p>
            <w:pPr>
              <w:jc w:val="center"/>
            </w:pPr>
            <w:r>
              <w:t xml:space="preserve">5,000</w:t>
            </w:r>
          </w:p>
        </w:tc>
      </w:tr>
      <w:tr>
        <w:tc>
          <w:tcPr>
            <w:tcW w:type="dxa" w:w="3000"/>
          </w:tcPr>
          <w:p>
            <w:pPr>
              <w:jc w:val="center"/>
            </w:pPr>
            <w:r>
              <w:t xml:space="preserve">1 (Positive)</w:t>
            </w:r>
          </w:p>
        </w:tc>
        <w:tc>
          <w:tcPr>
            <w:tcW w:type="dxa" w:w="3000"/>
          </w:tcPr>
          <w:p>
            <w:pPr>
              <w:jc w:val="center"/>
            </w:pPr>
            <w:r>
              <w:t xml:space="preserve">0.8532</w:t>
            </w:r>
          </w:p>
        </w:tc>
        <w:tc>
          <w:tcPr>
            <w:tcW w:type="dxa" w:w="3000"/>
          </w:tcPr>
          <w:p>
            <w:pPr>
              <w:jc w:val="center"/>
            </w:pPr>
            <w:r>
              <w:t xml:space="preserve">5,000</w:t>
            </w:r>
          </w:p>
        </w:tc>
      </w:tr>
    </w:tbl>
    <w:p>
      <w:pPr>
        <w:spacing w:after="150"/>
      </w:pPr>
      <w:r>
        <w:t xml:space="preserve">Both averages sit close to their ideal extremes (0 and 1 respectively) and are roughly symmetric around 0.5, indicating the model is reasonably well-calibrated and not systematically biased toward either class.</w:t>
      </w:r>
    </w:p>
    <w:p>
      <w:pPr>
        <w:pStyle w:val="Heading1"/>
        <w:spacing w:after="150" w:before="300"/>
      </w:pPr>
      <w:r>
        <w:t xml:space="preserve">9. Conclusion</w:t>
      </w:r>
    </w:p>
    <w:p>
      <w:pPr>
        <w:spacing w:after="150"/>
      </w:pPr>
      <w:r>
        <w:t xml:space="preserve">A Bag-of-Words representation combined with Logistic Regression trained under Binary Cross-Entropy loss is a strong, interpretable baseline for IMDB sentiment classification, reaching 87.6% accuracy and 0.94 ROC-AUC with a simple linear model. Its main weaknesses — sarcasm, negation, and length-imbalanced sentiment cues — are exactly the failure modes predicted by the theoretical limitations of the BoW assumption discussed in the coursework, and were empirically confirmed both through manual error inspection and through the independent SQL verification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a8cce8463ee8f9ce5de23625ffa0f45b1c0013.png"/><Relationship Id="rId8" Type="http://schemas.openxmlformats.org/officeDocument/2006/relationships/image" Target="media/d923caefc1702d48678b42585ed4602ead42b079.png"/><Relationship Id="rId9" Type="http://schemas.openxmlformats.org/officeDocument/2006/relationships/image" Target="media/201d7703ffd7363fd0a90ebdaedf2e03ee4af6ef.png"/><Relationship Id="rId10" Type="http://schemas.openxmlformats.org/officeDocument/2006/relationships/image" Target="media/66fc3446c31bbc1d15020f4887c1a1e58c79efd7.png"/><Relationship Id="rId11" Type="http://schemas.openxmlformats.org/officeDocument/2006/relationships/image" Target="media/c99d679efec750c0c8450dd99098a10c383f75c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2026-09-13T11:54:21.600Z</dcterms:created>
  <dcterms:modified xsi:type="dcterms:W3CDTF">2026-09-13T11:54:21.608Z</dcterms:modified>
</cp:coreProperties>
</file>

<file path=docProps/custom.xml><?xml version="1.0" encoding="utf-8"?>
<Properties xmlns="http://schemas.openxmlformats.org/officeDocument/2006/custom-properties" xmlns:vt="http://schemas.openxmlformats.org/officeDocument/2006/docPropsVTypes"/>
</file>