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PHASE 1 PROJECT PROPOSAL</w:t>
      </w:r>
    </w:p>
    <w:p>
      <w:pPr>
        <w:jc w:val="center"/>
      </w:pPr>
      <w:r>
        <w:rPr>
          <w:b/>
          <w:sz w:val="44"/>
        </w:rPr>
        <w:t>Open-Source Project Health &amp; Momentum Analytics Using GH Archive</w:t>
      </w:r>
    </w:p>
    <w:p>
      <w:pPr>
        <w:jc w:val="center"/>
      </w:pPr>
      <w:r>
        <w:rPr>
          <w:b/>
        </w:rPr>
        <w:t>DS-3001 — Data Analysis and Visualization</w:t>
        <w:br/>
      </w:r>
      <w:r>
        <w:t>Team: Shahryar Ehtisham &amp; Muhammad Yousaf</w:t>
        <w:br/>
      </w:r>
      <w:r>
        <w:t>Submission Date: 26 September 2026</w:t>
        <w:br/>
      </w:r>
      <w:r>
        <w:t>GitHub Repository: [Insert repository URL]</w:t>
      </w:r>
    </w:p>
    <w:p>
      <w:pPr>
        <w:pStyle w:val="Heading1"/>
      </w:pPr>
      <w:r>
        <w:t>Executive Summary</w:t>
      </w:r>
    </w:p>
    <w:p>
      <w:r>
        <w:t>This project proposes an end-to-end Apache Spark data pipeline for analyzing public open-source software activity recorded by GH Archive. GH Archive records public GitHub activity in hourly compressed JSON archives. The proposed system will ingest a bounded historical baseline as a full load, then process newly available hourly archives as incremental batches through a Bronze–Silver–Gold Medallion architecture. The Gold layer will provide analytical views of repository activity, momentum, contributor activity, event composition, pull-request/issue activity, and unusual activity patterns. The final outputs will be presented through an interactive Power BI dashboard.</w:t>
      </w:r>
    </w:p>
    <w:p>
      <w:pPr>
        <w:pStyle w:val="Heading1"/>
      </w:pPr>
      <w:r>
        <w:t>1. Domain &amp; Source Identification</w:t>
      </w:r>
    </w:p>
    <w:p>
      <w:pPr>
        <w:pStyle w:val="Heading2"/>
      </w:pPr>
      <w:r>
        <w:t>1.1 Domain and Project Concept</w:t>
      </w:r>
    </w:p>
    <w:p>
      <w:r>
        <w:t>The selected domain is open-source software repository analytics. The objective is to transform a high-volume event stream into business-analyst-friendly measures that describe repository activity, collaboration, momentum, and changes over time. The project is intentionally designed as a data-engineering problem rather than a simple static dataset analysis: the source arrives as repeated hourly payloads, requires schema-aware processing, and supports incremental ingestion.</w:t>
      </w:r>
    </w:p>
    <w:p>
      <w:pPr>
        <w:pStyle w:val="Heading2"/>
      </w:pPr>
      <w:r>
        <w:t>1.2 Data Source</w:t>
      </w:r>
    </w:p>
    <w:p>
      <w:r>
        <w:t>The primary source is GH Archive (https://www.gharchive.org/), which records the public GitHub timeline and makes activity available as hourly JSON archives. The archive documentation states that activity is aggregated into hourly archives and that each archive contains JSON-encoded events. Archives are available through URLs following the pattern https://data.gharchive.org/YYYY-MM-DD-H.json.gz.</w:t>
      </w:r>
    </w:p>
    <w:p>
      <w:r>
        <w:t>GH Archive is appropriate for this project because the source is continuously organized into time-bounded hourly payloads. This gives the pipeline a natural historical-baseline/full-load mode and an hourly incremental mode.</w:t>
      </w:r>
    </w:p>
    <w:p>
      <w:pPr>
        <w:pStyle w:val="Heading2"/>
      </w:pPr>
      <w:r>
        <w:t>1.3 Full and Incremental Loading</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D9EAF7"/>
            <w:vAlign w:val="center"/>
          </w:tcPr>
          <w:p>
            <w:r>
              <w:rPr>
                <w:b/>
              </w:rPr>
              <w:t>Load Type</w:t>
            </w:r>
          </w:p>
        </w:tc>
        <w:tc>
          <w:tcPr>
            <w:tcW w:type="dxa" w:w="3600"/>
            <w:shd w:fill="D9EAF7"/>
            <w:vAlign w:val="center"/>
          </w:tcPr>
          <w:p>
            <w:r>
              <w:rPr>
                <w:b/>
              </w:rPr>
              <w:t>Proposed Implementation</w:t>
            </w:r>
          </w:p>
        </w:tc>
        <w:tc>
          <w:tcPr>
            <w:tcW w:type="dxa" w:w="4896"/>
            <w:shd w:fill="D9EAF7"/>
            <w:vAlign w:val="center"/>
          </w:tcPr>
          <w:p>
            <w:r>
              <w:rPr>
                <w:b/>
              </w:rPr>
              <w:t>Evidence / Rationale</w:t>
            </w:r>
          </w:p>
        </w:tc>
      </w:tr>
      <w:tr>
        <w:tc>
          <w:tcPr>
            <w:tcW w:type="dxa" w:w="1440"/>
            <w:vAlign w:val="center"/>
          </w:tcPr>
          <w:p>
            <w:r>
              <w:t>Full Load</w:t>
            </w:r>
          </w:p>
        </w:tc>
        <w:tc>
          <w:tcPr>
            <w:tcW w:type="dxa" w:w="3600"/>
            <w:vAlign w:val="center"/>
          </w:tcPr>
          <w:p>
            <w:r>
              <w:t>A bounded historical baseline consisting of multiple hourly GH Archive files.</w:t>
            </w:r>
          </w:p>
        </w:tc>
        <w:tc>
          <w:tcPr>
            <w:tcW w:type="dxa" w:w="4896"/>
            <w:vAlign w:val="center"/>
          </w:tcPr>
          <w:p>
            <w:r>
              <w:t>GH Archive provides historical hourly archives dating back to 2011; the actual Phase 2 baseline window will be selected to fit Free Edition resources.</w:t>
            </w:r>
          </w:p>
        </w:tc>
      </w:tr>
      <w:tr>
        <w:tc>
          <w:tcPr>
            <w:tcW w:type="dxa" w:w="1440"/>
            <w:vAlign w:val="center"/>
          </w:tcPr>
          <w:p>
            <w:r>
              <w:t>Incremental Load</w:t>
            </w:r>
          </w:p>
        </w:tc>
        <w:tc>
          <w:tcPr>
            <w:tcW w:type="dxa" w:w="3600"/>
            <w:vAlign w:val="center"/>
          </w:tcPr>
          <w:p>
            <w:r>
              <w:t>Each newly available hourly archive is treated as a new append-oriented batch.</w:t>
            </w:r>
          </w:p>
        </w:tc>
        <w:tc>
          <w:tcPr>
            <w:tcW w:type="dxa" w:w="4896"/>
            <w:vAlign w:val="center"/>
          </w:tcPr>
          <w:p>
            <w:r>
              <w:t>Three consecutive 2026 hourly files were profiled and showed 0 overlapping event IDs between consecutive files.</w:t>
            </w:r>
          </w:p>
        </w:tc>
      </w:tr>
    </w:tbl>
    <w:p/>
    <w:p>
      <w:pPr>
        <w:pStyle w:val="Heading1"/>
      </w:pPr>
      <w:r>
        <w:t>2. Data Samples &amp; Volume</w:t>
      </w:r>
    </w:p>
    <w:p>
      <w:r>
        <w:t>Three consecutive real GH Archive samples were downloaded for 25 September 2026 at 10:00, 11:00, and 12:00 UTC. For Phase 1, the 10:00 and 11:00 files serve as representative raw sample payloads for the initial/full-load baseline, while the 12:00 file represents the subsequent incremental payload. The actual Phase 2 full-load baseline will use a larger bounded historical window; these files are intentionally kept small enough to inspect, version, and test within student/free-tier constraints. All three files are retained in the project data/samples directory as raw .json.gz files.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D9EAF7"/>
            <w:vAlign w:val="center"/>
          </w:tcPr>
          <w:p>
            <w:r>
              <w:rPr>
                <w:b/>
              </w:rPr>
              <w:t>Sample</w:t>
            </w:r>
          </w:p>
        </w:tc>
        <w:tc>
          <w:tcPr>
            <w:tcW w:type="dxa" w:w="2016"/>
            <w:shd w:fill="D9EAF7"/>
            <w:vAlign w:val="center"/>
          </w:tcPr>
          <w:p>
            <w:r>
              <w:rPr>
                <w:b/>
              </w:rPr>
              <w:t>Events</w:t>
            </w:r>
          </w:p>
        </w:tc>
        <w:tc>
          <w:tcPr>
            <w:tcW w:type="dxa" w:w="2160"/>
            <w:shd w:fill="D9EAF7"/>
            <w:vAlign w:val="center"/>
          </w:tcPr>
          <w:p>
            <w:r>
              <w:rPr>
                <w:b/>
              </w:rPr>
              <w:t>Compressed</w:t>
            </w:r>
          </w:p>
        </w:tc>
        <w:tc>
          <w:tcPr>
            <w:tcW w:type="dxa" w:w="2160"/>
            <w:shd w:fill="D9EAF7"/>
            <w:vAlign w:val="center"/>
          </w:tcPr>
          <w:p>
            <w:r>
              <w:rPr>
                <w:b/>
              </w:rPr>
              <w:t>Uncompressed</w:t>
            </w:r>
          </w:p>
        </w:tc>
      </w:tr>
      <w:tr>
        <w:tc>
          <w:tcPr>
            <w:tcW w:type="dxa" w:w="2880"/>
            <w:vAlign w:val="center"/>
          </w:tcPr>
          <w:p>
            <w:r>
              <w:t>2026-09-25-10.json.gz</w:t>
            </w:r>
          </w:p>
        </w:tc>
        <w:tc>
          <w:tcPr>
            <w:tcW w:type="dxa" w:w="2016"/>
            <w:vAlign w:val="center"/>
          </w:tcPr>
          <w:p>
            <w:r>
              <w:t>84,754</w:t>
            </w:r>
          </w:p>
        </w:tc>
        <w:tc>
          <w:tcPr>
            <w:tcW w:type="dxa" w:w="2160"/>
            <w:vAlign w:val="center"/>
          </w:tcPr>
          <w:p>
            <w:r>
              <w:t>14.11 MB</w:t>
            </w:r>
          </w:p>
        </w:tc>
        <w:tc>
          <w:tcPr>
            <w:tcW w:type="dxa" w:w="2160"/>
            <w:vAlign w:val="center"/>
          </w:tcPr>
          <w:p>
            <w:r>
              <w:t>66.74 MB</w:t>
            </w:r>
          </w:p>
        </w:tc>
      </w:tr>
      <w:tr>
        <w:tc>
          <w:tcPr>
            <w:tcW w:type="dxa" w:w="2880"/>
            <w:vAlign w:val="center"/>
          </w:tcPr>
          <w:p>
            <w:r>
              <w:t>2026-09-25-11.json.gz</w:t>
            </w:r>
          </w:p>
        </w:tc>
        <w:tc>
          <w:tcPr>
            <w:tcW w:type="dxa" w:w="2016"/>
            <w:vAlign w:val="center"/>
          </w:tcPr>
          <w:p>
            <w:r>
              <w:t>89,852</w:t>
            </w:r>
          </w:p>
        </w:tc>
        <w:tc>
          <w:tcPr>
            <w:tcW w:type="dxa" w:w="2160"/>
            <w:vAlign w:val="center"/>
          </w:tcPr>
          <w:p>
            <w:r>
              <w:t>14.20 MB</w:t>
            </w:r>
          </w:p>
        </w:tc>
        <w:tc>
          <w:tcPr>
            <w:tcW w:type="dxa" w:w="2160"/>
            <w:vAlign w:val="center"/>
          </w:tcPr>
          <w:p>
            <w:r>
              <w:t>67.65 MB</w:t>
            </w:r>
          </w:p>
        </w:tc>
      </w:tr>
      <w:tr>
        <w:tc>
          <w:tcPr>
            <w:tcW w:type="dxa" w:w="2880"/>
            <w:vAlign w:val="center"/>
          </w:tcPr>
          <w:p>
            <w:r>
              <w:t>2026-09-25-12.json.gz</w:t>
            </w:r>
          </w:p>
        </w:tc>
        <w:tc>
          <w:tcPr>
            <w:tcW w:type="dxa" w:w="2016"/>
            <w:vAlign w:val="center"/>
          </w:tcPr>
          <w:p>
            <w:r>
              <w:t>93,655</w:t>
            </w:r>
          </w:p>
        </w:tc>
        <w:tc>
          <w:tcPr>
            <w:tcW w:type="dxa" w:w="2160"/>
            <w:vAlign w:val="center"/>
          </w:tcPr>
          <w:p>
            <w:r>
              <w:t>14.73 MB</w:t>
            </w:r>
          </w:p>
        </w:tc>
        <w:tc>
          <w:tcPr>
            <w:tcW w:type="dxa" w:w="2160"/>
            <w:vAlign w:val="center"/>
          </w:tcPr>
          <w:p>
            <w:r>
              <w:t>70.54 MB</w:t>
            </w:r>
          </w:p>
        </w:tc>
      </w:tr>
      <w:tr>
        <w:tc>
          <w:tcPr>
            <w:tcW w:type="dxa" w:w="2880"/>
            <w:vAlign w:val="center"/>
          </w:tcPr>
          <w:p>
            <w:r>
              <w:t>Total</w:t>
            </w:r>
          </w:p>
        </w:tc>
        <w:tc>
          <w:tcPr>
            <w:tcW w:type="dxa" w:w="2016"/>
            <w:vAlign w:val="center"/>
          </w:tcPr>
          <w:p>
            <w:r>
              <w:t>268,261</w:t>
            </w:r>
          </w:p>
        </w:tc>
        <w:tc>
          <w:tcPr>
            <w:tcW w:type="dxa" w:w="2160"/>
            <w:vAlign w:val="center"/>
          </w:tcPr>
          <w:p>
            <w:r>
              <w:t>43.04 MB</w:t>
            </w:r>
          </w:p>
        </w:tc>
        <w:tc>
          <w:tcPr>
            <w:tcW w:type="dxa" w:w="2160"/>
            <w:vAlign w:val="center"/>
          </w:tcPr>
          <w:p>
            <w:r>
              <w:t>204.93 MB</w:t>
            </w:r>
          </w:p>
        </w:tc>
      </w:tr>
    </w:tbl>
    <w:p/>
    <w:p>
      <w:r>
        <w:t>The observed hourly samples range from approximately 84.8k to 93.7k events and 14.1–14.7 MB compressed. Using the three-hour sample as a planning estimate, the average is approximately 89,420 events/hour and 14.35 MB compressed/hour. A simple extrapolation gives approximately 344 MB compressed/day and 2.41 GB compressed/week. These are planning estimates, not guarantees, because event volume varies over time.</w:t>
      </w:r>
    </w:p>
    <w:p>
      <w:pPr>
        <w:pStyle w:val="Heading2"/>
      </w:pPr>
      <w:r>
        <w:t>2.1 Event-Type Evidence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744"/>
            <w:shd w:fill="D9EAF7"/>
            <w:vAlign w:val="center"/>
          </w:tcPr>
          <w:p>
            <w:r>
              <w:rPr>
                <w:b/>
              </w:rPr>
              <w:t>Event Type</w:t>
            </w:r>
          </w:p>
        </w:tc>
        <w:tc>
          <w:tcPr>
            <w:tcW w:type="dxa" w:w="1440"/>
            <w:shd w:fill="D9EAF7"/>
            <w:vAlign w:val="center"/>
          </w:tcPr>
          <w:p>
            <w:r>
              <w:rPr>
                <w:b/>
              </w:rPr>
              <w:t>10:00</w:t>
            </w:r>
          </w:p>
        </w:tc>
        <w:tc>
          <w:tcPr>
            <w:tcW w:type="dxa" w:w="1440"/>
            <w:shd w:fill="D9EAF7"/>
            <w:vAlign w:val="center"/>
          </w:tcPr>
          <w:p>
            <w:r>
              <w:rPr>
                <w:b/>
              </w:rPr>
              <w:t>11:00</w:t>
            </w:r>
          </w:p>
        </w:tc>
        <w:tc>
          <w:tcPr>
            <w:tcW w:type="dxa" w:w="1440"/>
            <w:shd w:fill="D9EAF7"/>
            <w:vAlign w:val="center"/>
          </w:tcPr>
          <w:p>
            <w:r>
              <w:rPr>
                <w:b/>
              </w:rPr>
              <w:t>12:00</w:t>
            </w:r>
          </w:p>
        </w:tc>
      </w:tr>
      <w:tr>
        <w:tc>
          <w:tcPr>
            <w:tcW w:type="dxa" w:w="3744"/>
            <w:vAlign w:val="center"/>
          </w:tcPr>
          <w:p>
            <w:r>
              <w:t>PushEvent</w:t>
            </w:r>
          </w:p>
        </w:tc>
        <w:tc>
          <w:tcPr>
            <w:tcW w:type="dxa" w:w="1440"/>
            <w:vAlign w:val="center"/>
          </w:tcPr>
          <w:p>
            <w:r>
              <w:t>70,102</w:t>
            </w:r>
          </w:p>
        </w:tc>
        <w:tc>
          <w:tcPr>
            <w:tcW w:type="dxa" w:w="1440"/>
            <w:vAlign w:val="center"/>
          </w:tcPr>
          <w:p>
            <w:r>
              <w:t>73,187</w:t>
            </w:r>
          </w:p>
        </w:tc>
        <w:tc>
          <w:tcPr>
            <w:tcW w:type="dxa" w:w="1440"/>
            <w:vAlign w:val="center"/>
          </w:tcPr>
          <w:p>
            <w:r>
              <w:t>75,979</w:t>
            </w:r>
          </w:p>
        </w:tc>
      </w:tr>
      <w:tr>
        <w:tc>
          <w:tcPr>
            <w:tcW w:type="dxa" w:w="3744"/>
            <w:vAlign w:val="center"/>
          </w:tcPr>
          <w:p>
            <w:r>
              <w:t>CreateEvent</w:t>
            </w:r>
          </w:p>
        </w:tc>
        <w:tc>
          <w:tcPr>
            <w:tcW w:type="dxa" w:w="1440"/>
            <w:vAlign w:val="center"/>
          </w:tcPr>
          <w:p>
            <w:r>
              <w:t>9,046</w:t>
            </w:r>
          </w:p>
        </w:tc>
        <w:tc>
          <w:tcPr>
            <w:tcW w:type="dxa" w:w="1440"/>
            <w:vAlign w:val="center"/>
          </w:tcPr>
          <w:p>
            <w:r>
              <w:t>11,314</w:t>
            </w:r>
          </w:p>
        </w:tc>
        <w:tc>
          <w:tcPr>
            <w:tcW w:type="dxa" w:w="1440"/>
            <w:vAlign w:val="center"/>
          </w:tcPr>
          <w:p>
            <w:r>
              <w:t>12,129</w:t>
            </w:r>
          </w:p>
        </w:tc>
      </w:tr>
      <w:tr>
        <w:tc>
          <w:tcPr>
            <w:tcW w:type="dxa" w:w="3744"/>
            <w:vAlign w:val="center"/>
          </w:tcPr>
          <w:p>
            <w:r>
              <w:t>DeleteEvent</w:t>
            </w:r>
          </w:p>
        </w:tc>
        <w:tc>
          <w:tcPr>
            <w:tcW w:type="dxa" w:w="1440"/>
            <w:vAlign w:val="center"/>
          </w:tcPr>
          <w:p>
            <w:r>
              <w:t>3,157</w:t>
            </w:r>
          </w:p>
        </w:tc>
        <w:tc>
          <w:tcPr>
            <w:tcW w:type="dxa" w:w="1440"/>
            <w:vAlign w:val="center"/>
          </w:tcPr>
          <w:p>
            <w:r>
              <w:t>3,385</w:t>
            </w:r>
          </w:p>
        </w:tc>
        <w:tc>
          <w:tcPr>
            <w:tcW w:type="dxa" w:w="1440"/>
            <w:vAlign w:val="center"/>
          </w:tcPr>
          <w:p>
            <w:r>
              <w:t>3,406</w:t>
            </w:r>
          </w:p>
        </w:tc>
      </w:tr>
      <w:tr>
        <w:tc>
          <w:tcPr>
            <w:tcW w:type="dxa" w:w="3744"/>
            <w:vAlign w:val="center"/>
          </w:tcPr>
          <w:p>
            <w:r>
              <w:t>PullRequestEvent</w:t>
            </w:r>
          </w:p>
        </w:tc>
        <w:tc>
          <w:tcPr>
            <w:tcW w:type="dxa" w:w="1440"/>
            <w:vAlign w:val="center"/>
          </w:tcPr>
          <w:p>
            <w:r>
              <w:t>877</w:t>
            </w:r>
          </w:p>
        </w:tc>
        <w:tc>
          <w:tcPr>
            <w:tcW w:type="dxa" w:w="1440"/>
            <w:vAlign w:val="center"/>
          </w:tcPr>
          <w:p>
            <w:r>
              <w:t>708</w:t>
            </w:r>
          </w:p>
        </w:tc>
        <w:tc>
          <w:tcPr>
            <w:tcW w:type="dxa" w:w="1440"/>
            <w:vAlign w:val="center"/>
          </w:tcPr>
          <w:p>
            <w:r>
              <w:t>681</w:t>
            </w:r>
          </w:p>
        </w:tc>
      </w:tr>
      <w:tr>
        <w:tc>
          <w:tcPr>
            <w:tcW w:type="dxa" w:w="3744"/>
            <w:vAlign w:val="center"/>
          </w:tcPr>
          <w:p>
            <w:r>
              <w:t>IssueCommentEvent</w:t>
            </w:r>
          </w:p>
        </w:tc>
        <w:tc>
          <w:tcPr>
            <w:tcW w:type="dxa" w:w="1440"/>
            <w:vAlign w:val="center"/>
          </w:tcPr>
          <w:p>
            <w:r>
              <w:t>528</w:t>
            </w:r>
          </w:p>
        </w:tc>
        <w:tc>
          <w:tcPr>
            <w:tcW w:type="dxa" w:w="1440"/>
            <w:vAlign w:val="center"/>
          </w:tcPr>
          <w:p>
            <w:r>
              <w:t>467</w:t>
            </w:r>
          </w:p>
        </w:tc>
        <w:tc>
          <w:tcPr>
            <w:tcW w:type="dxa" w:w="1440"/>
            <w:vAlign w:val="center"/>
          </w:tcPr>
          <w:p>
            <w:r>
              <w:t>454</w:t>
            </w:r>
          </w:p>
        </w:tc>
      </w:tr>
      <w:tr>
        <w:tc>
          <w:tcPr>
            <w:tcW w:type="dxa" w:w="3744"/>
            <w:vAlign w:val="center"/>
          </w:tcPr>
          <w:p>
            <w:r>
              <w:t>IssuesEvent</w:t>
            </w:r>
          </w:p>
        </w:tc>
        <w:tc>
          <w:tcPr>
            <w:tcW w:type="dxa" w:w="1440"/>
            <w:vAlign w:val="center"/>
          </w:tcPr>
          <w:p>
            <w:r>
              <w:t>319</w:t>
            </w:r>
          </w:p>
        </w:tc>
        <w:tc>
          <w:tcPr>
            <w:tcW w:type="dxa" w:w="1440"/>
            <w:vAlign w:val="center"/>
          </w:tcPr>
          <w:p>
            <w:r>
              <w:t>280</w:t>
            </w:r>
          </w:p>
        </w:tc>
        <w:tc>
          <w:tcPr>
            <w:tcW w:type="dxa" w:w="1440"/>
            <w:vAlign w:val="center"/>
          </w:tcPr>
          <w:p>
            <w:r>
              <w:t>298</w:t>
            </w:r>
          </w:p>
        </w:tc>
      </w:tr>
      <w:tr>
        <w:tc>
          <w:tcPr>
            <w:tcW w:type="dxa" w:w="3744"/>
            <w:vAlign w:val="center"/>
          </w:tcPr>
          <w:p>
            <w:r>
              <w:t>PullRequestReviewEvent</w:t>
            </w:r>
          </w:p>
        </w:tc>
        <w:tc>
          <w:tcPr>
            <w:tcW w:type="dxa" w:w="1440"/>
            <w:vAlign w:val="center"/>
          </w:tcPr>
          <w:p>
            <w:r>
              <w:t>231</w:t>
            </w:r>
          </w:p>
        </w:tc>
        <w:tc>
          <w:tcPr>
            <w:tcW w:type="dxa" w:w="1440"/>
            <w:vAlign w:val="center"/>
          </w:tcPr>
          <w:p>
            <w:r>
              <w:t>169</w:t>
            </w:r>
          </w:p>
        </w:tc>
        <w:tc>
          <w:tcPr>
            <w:tcW w:type="dxa" w:w="1440"/>
            <w:vAlign w:val="center"/>
          </w:tcPr>
          <w:p>
            <w:r>
              <w:t>157</w:t>
            </w:r>
          </w:p>
        </w:tc>
      </w:tr>
      <w:tr>
        <w:tc>
          <w:tcPr>
            <w:tcW w:type="dxa" w:w="3744"/>
            <w:vAlign w:val="center"/>
          </w:tcPr>
          <w:p>
            <w:r>
              <w:t>PullRequestReviewCommentEvent</w:t>
            </w:r>
          </w:p>
        </w:tc>
        <w:tc>
          <w:tcPr>
            <w:tcW w:type="dxa" w:w="1440"/>
            <w:vAlign w:val="center"/>
          </w:tcPr>
          <w:p>
            <w:r>
              <w:t>193</w:t>
            </w:r>
          </w:p>
        </w:tc>
        <w:tc>
          <w:tcPr>
            <w:tcW w:type="dxa" w:w="1440"/>
            <w:vAlign w:val="center"/>
          </w:tcPr>
          <w:p>
            <w:r>
              <w:t>137</w:t>
            </w:r>
          </w:p>
        </w:tc>
        <w:tc>
          <w:tcPr>
            <w:tcW w:type="dxa" w:w="1440"/>
            <w:vAlign w:val="center"/>
          </w:tcPr>
          <w:p>
            <w:r>
              <w:t>125</w:t>
            </w:r>
          </w:p>
        </w:tc>
      </w:tr>
      <w:tr>
        <w:tc>
          <w:tcPr>
            <w:tcW w:type="dxa" w:w="3744"/>
            <w:vAlign w:val="center"/>
          </w:tcPr>
          <w:p>
            <w:r>
              <w:t>WatchEvent</w:t>
            </w:r>
          </w:p>
        </w:tc>
        <w:tc>
          <w:tcPr>
            <w:tcW w:type="dxa" w:w="1440"/>
            <w:vAlign w:val="center"/>
          </w:tcPr>
          <w:p>
            <w:r>
              <w:t>141</w:t>
            </w:r>
          </w:p>
        </w:tc>
        <w:tc>
          <w:tcPr>
            <w:tcW w:type="dxa" w:w="1440"/>
            <w:vAlign w:val="center"/>
          </w:tcPr>
          <w:p>
            <w:r>
              <w:t>118</w:t>
            </w:r>
          </w:p>
        </w:tc>
        <w:tc>
          <w:tcPr>
            <w:tcW w:type="dxa" w:w="1440"/>
            <w:vAlign w:val="center"/>
          </w:tcPr>
          <w:p>
            <w:r>
              <w:t>107</w:t>
            </w:r>
          </w:p>
        </w:tc>
      </w:tr>
      <w:tr>
        <w:tc>
          <w:tcPr>
            <w:tcW w:type="dxa" w:w="3744"/>
            <w:vAlign w:val="center"/>
          </w:tcPr>
          <w:p>
            <w:r>
              <w:t>ReleaseEvent</w:t>
            </w:r>
          </w:p>
        </w:tc>
        <w:tc>
          <w:tcPr>
            <w:tcW w:type="dxa" w:w="1440"/>
            <w:vAlign w:val="center"/>
          </w:tcPr>
          <w:p>
            <w:r>
              <w:t>101</w:t>
            </w:r>
          </w:p>
        </w:tc>
        <w:tc>
          <w:tcPr>
            <w:tcW w:type="dxa" w:w="1440"/>
            <w:vAlign w:val="center"/>
          </w:tcPr>
          <w:p>
            <w:r>
              <w:t>40</w:t>
            </w:r>
          </w:p>
        </w:tc>
        <w:tc>
          <w:tcPr>
            <w:tcW w:type="dxa" w:w="1440"/>
            <w:vAlign w:val="center"/>
          </w:tcPr>
          <w:p>
            <w:r>
              <w:t>37</w:t>
            </w:r>
          </w:p>
        </w:tc>
      </w:tr>
      <w:tr>
        <w:tc>
          <w:tcPr>
            <w:tcW w:type="dxa" w:w="3744"/>
            <w:vAlign w:val="center"/>
          </w:tcPr>
          <w:p>
            <w:r>
              <w:t>ForkEvent</w:t>
            </w:r>
          </w:p>
        </w:tc>
        <w:tc>
          <w:tcPr>
            <w:tcW w:type="dxa" w:w="1440"/>
            <w:vAlign w:val="center"/>
          </w:tcPr>
          <w:p>
            <w:r>
              <w:t>29</w:t>
            </w:r>
          </w:p>
        </w:tc>
        <w:tc>
          <w:tcPr>
            <w:tcW w:type="dxa" w:w="1440"/>
            <w:vAlign w:val="center"/>
          </w:tcPr>
          <w:p>
            <w:r>
              <w:t>31</w:t>
            </w:r>
          </w:p>
        </w:tc>
        <w:tc>
          <w:tcPr>
            <w:tcW w:type="dxa" w:w="1440"/>
            <w:vAlign w:val="center"/>
          </w:tcPr>
          <w:p>
            <w:r>
              <w:t>24</w:t>
            </w:r>
          </w:p>
        </w:tc>
      </w:tr>
      <w:tr>
        <w:tc>
          <w:tcPr>
            <w:tcW w:type="dxa" w:w="3744"/>
            <w:vAlign w:val="center"/>
          </w:tcPr>
          <w:p>
            <w:r>
              <w:t>Other event types</w:t>
            </w:r>
          </w:p>
        </w:tc>
        <w:tc>
          <w:tcPr>
            <w:tcW w:type="dxa" w:w="1440"/>
            <w:vAlign w:val="center"/>
          </w:tcPr>
          <w:p>
            <w:r>
              <w:t>30</w:t>
            </w:r>
          </w:p>
        </w:tc>
        <w:tc>
          <w:tcPr>
            <w:tcW w:type="dxa" w:w="1440"/>
            <w:vAlign w:val="center"/>
          </w:tcPr>
          <w:p>
            <w:r>
              <w:t>16</w:t>
            </w:r>
          </w:p>
        </w:tc>
        <w:tc>
          <w:tcPr>
            <w:tcW w:type="dxa" w:w="1440"/>
            <w:vAlign w:val="center"/>
          </w:tcPr>
          <w:p>
            <w:r>
              <w:t>258</w:t>
            </w:r>
          </w:p>
        </w:tc>
      </w:tr>
    </w:tbl>
    <w:p/>
    <w:p>
      <w:r>
        <w:t>The samples demonstrate that GH Archive is not a single-purpose stream. Push, repository creation/deletion, pull requests, issues, comments, reviews, releases, watches, and forks are all represented. This supports multiple analytical Gold outputs rather than one aggregate event-count table.</w:t>
      </w:r>
    </w:p>
    <w:p>
      <w:pPr>
        <w:pStyle w:val="Heading1"/>
      </w:pPr>
      <w:r>
        <w:t>3. Security &amp; Compliance</w:t>
      </w:r>
    </w:p>
    <w:p>
      <w:r>
        <w:t>The raw public event stream contains user-related information, including public actor identifiers and nested user objects associated with issues, comments, reviews, releases, and other activities. User-generated free-text content may also occur in issue/comment/review payloads. Therefore, the project will not claim that the source contains 'no PII'.</w:t>
      </w:r>
    </w:p>
    <w:p>
      <w:pPr>
        <w:pStyle w:val="Heading2"/>
      </w:pPr>
      <w:r>
        <w:t>3.1 Handling Strategy</w:t>
      </w:r>
    </w:p>
    <w:tbl>
      <w:tblPr>
        <w:tblStyle w:val="TableGrid"/>
        <w:tblW w:type="auto" w:w="0"/>
        <w:jc w:val="center"/>
        <w:tblLook w:firstColumn="1" w:firstRow="1" w:lastColumn="0" w:lastRow="0" w:noHBand="0" w:noVBand="1" w:val="04A0"/>
      </w:tblPr>
      <w:tblGrid>
        <w:gridCol w:w="5040"/>
        <w:gridCol w:w="5040"/>
      </w:tblGrid>
      <w:tr>
        <w:tc>
          <w:tcPr>
            <w:tcW w:type="dxa" w:w="1728"/>
            <w:shd w:fill="D9EAF7"/>
            <w:vAlign w:val="center"/>
          </w:tcPr>
          <w:p>
            <w:r>
              <w:rPr>
                <w:b/>
              </w:rPr>
              <w:t>Layer</w:t>
            </w:r>
          </w:p>
        </w:tc>
        <w:tc>
          <w:tcPr>
            <w:tcW w:type="dxa" w:w="8352"/>
            <w:shd w:fill="D9EAF7"/>
            <w:vAlign w:val="center"/>
          </w:tcPr>
          <w:p>
            <w:r>
              <w:rPr>
                <w:b/>
              </w:rPr>
              <w:t>Handling</w:t>
            </w:r>
          </w:p>
        </w:tc>
      </w:tr>
      <w:tr>
        <w:tc>
          <w:tcPr>
            <w:tcW w:type="dxa" w:w="1728"/>
            <w:vAlign w:val="center"/>
          </w:tcPr>
          <w:p>
            <w:r>
              <w:t>Bronze</w:t>
            </w:r>
          </w:p>
        </w:tc>
        <w:tc>
          <w:tcPr>
            <w:tcW w:type="dxa" w:w="8352"/>
            <w:vAlign w:val="center"/>
          </w:tcPr>
          <w:p>
            <w:r>
              <w:t>Preserve the downloaded raw event payloads for traceability and reproducibility. Access should be restricted to the project team.</w:t>
            </w:r>
          </w:p>
        </w:tc>
      </w:tr>
      <w:tr>
        <w:tc>
          <w:tcPr>
            <w:tcW w:type="dxa" w:w="1728"/>
            <w:vAlign w:val="center"/>
          </w:tcPr>
          <w:p>
            <w:r>
              <w:t>Silver</w:t>
            </w:r>
          </w:p>
        </w:tc>
        <w:tc>
          <w:tcPr>
            <w:tcW w:type="dxa" w:w="8352"/>
            <w:vAlign w:val="center"/>
          </w:tcPr>
          <w:p>
            <w:r>
              <w:t>Retain only fields required for analytical relationships; remove unnecessary profile fields, URLs/avatar fields, email fields if encountered, and user-generated free-text content.</w:t>
            </w:r>
          </w:p>
        </w:tc>
      </w:tr>
      <w:tr>
        <w:tc>
          <w:tcPr>
            <w:tcW w:type="dxa" w:w="1728"/>
            <w:vAlign w:val="center"/>
          </w:tcPr>
          <w:p>
            <w:r>
              <w:t>Identifiers</w:t>
            </w:r>
          </w:p>
        </w:tc>
        <w:tc>
          <w:tcPr>
            <w:tcW w:type="dxa" w:w="8352"/>
            <w:vAlign w:val="center"/>
          </w:tcPr>
          <w:p>
            <w:r>
              <w:t>Use stable analytical identifiers only where necessary. If direct public usernames are not required for a dashboard, a surrogate or hashed identifier can be used.</w:t>
            </w:r>
          </w:p>
        </w:tc>
      </w:tr>
      <w:tr>
        <w:tc>
          <w:tcPr>
            <w:tcW w:type="dxa" w:w="1728"/>
            <w:vAlign w:val="center"/>
          </w:tcPr>
          <w:p>
            <w:r>
              <w:t>Gold</w:t>
            </w:r>
          </w:p>
        </w:tc>
        <w:tc>
          <w:tcPr>
            <w:tcW w:type="dxa" w:w="8352"/>
            <w:vAlign w:val="center"/>
          </w:tcPr>
          <w:p>
            <w:r>
              <w:t>Expose aggregate metrics rather than raw user-level content.</w:t>
            </w:r>
          </w:p>
        </w:tc>
      </w:tr>
    </w:tbl>
    <w:p/>
    <w:p>
      <w:pPr>
        <w:pStyle w:val="Heading1"/>
      </w:pPr>
      <w:r>
        <w:t>4. High-Level Medallion Data Modeling</w:t>
      </w:r>
    </w:p>
    <w:p>
      <w:pPr>
        <w:pStyle w:val="Heading2"/>
      </w:pPr>
      <w:r>
        <w:t>4.1 Architecture</w:t>
      </w:r>
    </w:p>
    <w:p>
      <w:r>
        <w:t>Proposed flow:</w:t>
      </w:r>
    </w:p>
    <w:p>
      <w:pPr>
        <w:jc w:val="center"/>
      </w:pPr>
      <w:r>
        <w:rPr>
          <w:b/>
        </w:rPr>
        <w:t>GH Archive hourly JSON</w:t>
        <w:br/>
        <w:t>↓</w:t>
        <w:br/>
        <w:t>Bronze — raw immutable archives</w:t>
        <w:br/>
        <w:t>↓</w:t>
        <w:br/>
        <w:t>Silver — cleaned common + event-specific tables</w:t>
        <w:br/>
        <w:t>↓</w:t>
        <w:br/>
        <w:t>Gold — analytical aggregates</w:t>
        <w:br/>
        <w:t>↓</w:t>
        <w:br/>
        <w:t>Power BI dashboard</w:t>
      </w:r>
    </w:p>
    <w:p>
      <w:pPr>
        <w:pStyle w:val="Heading2"/>
      </w:pPr>
      <w:r>
        <w:t>4.2 Bronze Layer</w:t>
      </w:r>
    </w:p>
    <w:p>
      <w:pPr>
        <w:pStyle w:val="ListBullet"/>
      </w:pPr>
      <w:r>
        <w:t>Store raw .json.gz source archives without changing their contents.</w:t>
      </w:r>
    </w:p>
    <w:p>
      <w:pPr>
        <w:pStyle w:val="ListBullet"/>
      </w:pPr>
      <w:r>
        <w:t>Partition/organize data by event date and ingestion hour.</w:t>
      </w:r>
    </w:p>
    <w:p>
      <w:pPr>
        <w:pStyle w:val="ListBullet"/>
      </w:pPr>
      <w:r>
        <w:t>Maintain ingestion metadata so that a previously processed hourly archive is not accidentally ingested twice.</w:t>
      </w:r>
    </w:p>
    <w:p>
      <w:pPr>
        <w:pStyle w:val="ListBullet"/>
      </w:pPr>
      <w:r>
        <w:t>Treat each newly available hour as an append-oriented source batch; GH Archive is not being modeled as a conventional update/delete transactional database.</w:t>
      </w:r>
    </w:p>
    <w:p>
      <w:pPr>
        <w:pStyle w:val="Heading2"/>
      </w:pPr>
      <w:r>
        <w:t>4.3 Silver Layer</w:t>
      </w:r>
    </w:p>
    <w:p>
      <w:r>
        <w:t>A common event backbone will provide consistent fields across event types:</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r>
              <w:rPr>
                <w:b/>
              </w:rPr>
              <w:t>Table</w:t>
            </w:r>
          </w:p>
        </w:tc>
        <w:tc>
          <w:tcPr>
            <w:tcW w:type="dxa" w:w="7488"/>
            <w:shd w:fill="D9EAF7"/>
            <w:vAlign w:val="center"/>
          </w:tcPr>
          <w:p>
            <w:r>
              <w:rPr>
                <w:b/>
              </w:rPr>
              <w:t>Representative Fields / Purpose</w:t>
            </w:r>
          </w:p>
        </w:tc>
      </w:tr>
      <w:tr>
        <w:tc>
          <w:tcPr>
            <w:tcW w:type="dxa" w:w="2592"/>
            <w:vAlign w:val="center"/>
          </w:tcPr>
          <w:p>
            <w:r>
              <w:t>silver_event</w:t>
            </w:r>
          </w:p>
        </w:tc>
        <w:tc>
          <w:tcPr>
            <w:tcW w:type="dxa" w:w="7488"/>
            <w:vAlign w:val="center"/>
          </w:tcPr>
          <w:p>
            <w:r>
              <w:t>event_id, event_type, event_timestamp, event_date, repo_id, repo_name, actor_id, org_id, ingestion_hour</w:t>
            </w:r>
          </w:p>
        </w:tc>
      </w:tr>
      <w:tr>
        <w:tc>
          <w:tcPr>
            <w:tcW w:type="dxa" w:w="2592"/>
            <w:vAlign w:val="center"/>
          </w:tcPr>
          <w:p>
            <w:r>
              <w:t>silver_pull_request</w:t>
            </w:r>
          </w:p>
        </w:tc>
        <w:tc>
          <w:tcPr>
            <w:tcW w:type="dxa" w:w="7488"/>
            <w:vAlign w:val="center"/>
          </w:tcPr>
          <w:p>
            <w:r>
              <w:t>event_id, repo_id, PR identifiers, action/state-related fields, timestamps</w:t>
            </w:r>
          </w:p>
        </w:tc>
      </w:tr>
      <w:tr>
        <w:tc>
          <w:tcPr>
            <w:tcW w:type="dxa" w:w="2592"/>
            <w:vAlign w:val="center"/>
          </w:tcPr>
          <w:p>
            <w:r>
              <w:t>silver_issue</w:t>
            </w:r>
          </w:p>
        </w:tc>
        <w:tc>
          <w:tcPr>
            <w:tcW w:type="dxa" w:w="7488"/>
            <w:vAlign w:val="center"/>
          </w:tcPr>
          <w:p>
            <w:r>
              <w:t>event_id, repo_id, issue identifiers, action, state, timestamps</w:t>
            </w:r>
          </w:p>
        </w:tc>
      </w:tr>
      <w:tr>
        <w:tc>
          <w:tcPr>
            <w:tcW w:type="dxa" w:w="2592"/>
            <w:vAlign w:val="center"/>
          </w:tcPr>
          <w:p>
            <w:r>
              <w:t>silver_issue_comment</w:t>
            </w:r>
          </w:p>
        </w:tc>
        <w:tc>
          <w:tcPr>
            <w:tcW w:type="dxa" w:w="7488"/>
            <w:vAlign w:val="center"/>
          </w:tcPr>
          <w:p>
            <w:r>
              <w:t>event_id, repo_id, issue/comment identifiers, timestamp and action</w:t>
            </w:r>
          </w:p>
        </w:tc>
      </w:tr>
      <w:tr>
        <w:tc>
          <w:tcPr>
            <w:tcW w:type="dxa" w:w="2592"/>
            <w:vAlign w:val="center"/>
          </w:tcPr>
          <w:p>
            <w:r>
              <w:t>silver_review</w:t>
            </w:r>
          </w:p>
        </w:tc>
        <w:tc>
          <w:tcPr>
            <w:tcW w:type="dxa" w:w="7488"/>
            <w:vAlign w:val="center"/>
          </w:tcPr>
          <w:p>
            <w:r>
              <w:t>event_id, repo_id, PR/review identifiers, review state and timestamp</w:t>
            </w:r>
          </w:p>
        </w:tc>
      </w:tr>
      <w:tr>
        <w:tc>
          <w:tcPr>
            <w:tcW w:type="dxa" w:w="2592"/>
            <w:vAlign w:val="center"/>
          </w:tcPr>
          <w:p>
            <w:r>
              <w:t>silver_release</w:t>
            </w:r>
          </w:p>
        </w:tc>
        <w:tc>
          <w:tcPr>
            <w:tcW w:type="dxa" w:w="7488"/>
            <w:vAlign w:val="center"/>
          </w:tcPr>
          <w:p>
            <w:r>
              <w:t>event_id, repo_id, release identifiers, tag/action/published information</w:t>
            </w:r>
          </w:p>
        </w:tc>
      </w:tr>
    </w:tbl>
    <w:p/>
    <w:p>
      <w:pPr>
        <w:pStyle w:val="ListBullet"/>
      </w:pPr>
      <w:r>
        <w:t>Parse JSON safely and cast timestamps and identifiers into analytical types.</w:t>
      </w:r>
    </w:p>
    <w:p>
      <w:pPr>
        <w:pStyle w:val="ListBullet"/>
      </w:pPr>
      <w:r>
        <w:t>Normalize repository and actor relationships.</w:t>
      </w:r>
    </w:p>
    <w:p>
      <w:pPr>
        <w:pStyle w:val="ListBullet"/>
      </w:pPr>
      <w:r>
        <w:t>Deduplicate by event_id within the ingestion scope.</w:t>
      </w:r>
    </w:p>
    <w:p>
      <w:pPr>
        <w:pStyle w:val="ListBullet"/>
      </w:pPr>
      <w:r>
        <w:t>Keep event-specific attributes in event-specific tables instead of forcing unrelated payloads into one wide table.</w:t>
      </w:r>
    </w:p>
    <w:p>
      <w:pPr>
        <w:pStyle w:val="ListBullet"/>
      </w:pPr>
      <w:r>
        <w:t>Profile new event types/fields so schema changes do not silently break the pipeline.</w:t>
      </w:r>
    </w:p>
    <w:p>
      <w:pPr>
        <w:pStyle w:val="Heading2"/>
      </w:pPr>
      <w:r>
        <w:t>4.4 Gold Layer</w:t>
      </w:r>
    </w:p>
    <w:tbl>
      <w:tblPr>
        <w:tblStyle w:val="TableGrid"/>
        <w:tblW w:type="auto" w:w="0"/>
        <w:jc w:val="center"/>
        <w:tblLook w:firstColumn="1" w:firstRow="1" w:lastColumn="0" w:lastRow="0" w:noHBand="0" w:noVBand="1" w:val="04A0"/>
      </w:tblPr>
      <w:tblGrid>
        <w:gridCol w:w="5040"/>
        <w:gridCol w:w="5040"/>
      </w:tblGrid>
      <w:tr>
        <w:tc>
          <w:tcPr>
            <w:tcW w:type="dxa" w:w="3024"/>
            <w:shd w:fill="D9EAF7"/>
            <w:vAlign w:val="center"/>
          </w:tcPr>
          <w:p>
            <w:r>
              <w:rPr>
                <w:b/>
              </w:rPr>
              <w:t>Gold Table</w:t>
            </w:r>
          </w:p>
        </w:tc>
        <w:tc>
          <w:tcPr>
            <w:tcW w:type="dxa" w:w="7056"/>
            <w:shd w:fill="D9EAF7"/>
            <w:vAlign w:val="center"/>
          </w:tcPr>
          <w:p>
            <w:r>
              <w:rPr>
                <w:b/>
              </w:rPr>
              <w:t>Purpose</w:t>
            </w:r>
          </w:p>
        </w:tc>
      </w:tr>
      <w:tr>
        <w:tc>
          <w:tcPr>
            <w:tcW w:type="dxa" w:w="3024"/>
            <w:vAlign w:val="center"/>
          </w:tcPr>
          <w:p>
            <w:r>
              <w:t>gold_repo_activity</w:t>
            </w:r>
          </w:p>
        </w:tc>
        <w:tc>
          <w:tcPr>
            <w:tcW w:type="dxa" w:w="7056"/>
            <w:vAlign w:val="center"/>
          </w:tcPr>
          <w:p>
            <w:r>
              <w:t>Daily/hourly event counts by repository and activity type.</w:t>
            </w:r>
          </w:p>
        </w:tc>
      </w:tr>
      <w:tr>
        <w:tc>
          <w:tcPr>
            <w:tcW w:type="dxa" w:w="3024"/>
            <w:vAlign w:val="center"/>
          </w:tcPr>
          <w:p>
            <w:r>
              <w:t>gold_repo_momentum</w:t>
            </w:r>
          </w:p>
        </w:tc>
        <w:tc>
          <w:tcPr>
            <w:tcW w:type="dxa" w:w="7056"/>
            <w:vAlign w:val="center"/>
          </w:tcPr>
          <w:p>
            <w:r>
              <w:t>Recent activity growth, active contributors, and related momentum indicators.</w:t>
            </w:r>
          </w:p>
        </w:tc>
      </w:tr>
      <w:tr>
        <w:tc>
          <w:tcPr>
            <w:tcW w:type="dxa" w:w="3024"/>
            <w:vAlign w:val="center"/>
          </w:tcPr>
          <w:p>
            <w:r>
              <w:t>gold_contributor_activity</w:t>
            </w:r>
          </w:p>
        </w:tc>
        <w:tc>
          <w:tcPr>
            <w:tcW w:type="dxa" w:w="7056"/>
            <w:vAlign w:val="center"/>
          </w:tcPr>
          <w:p>
            <w:r>
              <w:t>Contributor/event activity summarized at an analytical level.</w:t>
            </w:r>
          </w:p>
        </w:tc>
      </w:tr>
      <w:tr>
        <w:tc>
          <w:tcPr>
            <w:tcW w:type="dxa" w:w="3024"/>
            <w:vAlign w:val="center"/>
          </w:tcPr>
          <w:p>
            <w:r>
              <w:t>gold_event_mix</w:t>
            </w:r>
          </w:p>
        </w:tc>
        <w:tc>
          <w:tcPr>
            <w:tcW w:type="dxa" w:w="7056"/>
            <w:vAlign w:val="center"/>
          </w:tcPr>
          <w:p>
            <w:r>
              <w:t>Distribution of activity types across time, repositories, and selected groups.</w:t>
            </w:r>
          </w:p>
        </w:tc>
      </w:tr>
      <w:tr>
        <w:tc>
          <w:tcPr>
            <w:tcW w:type="dxa" w:w="3024"/>
            <w:vAlign w:val="center"/>
          </w:tcPr>
          <w:p>
            <w:r>
              <w:t>gold_pull_request_activity</w:t>
            </w:r>
          </w:p>
        </w:tc>
        <w:tc>
          <w:tcPr>
            <w:tcW w:type="dxa" w:w="7056"/>
            <w:vAlign w:val="center"/>
          </w:tcPr>
          <w:p>
            <w:r>
              <w:t>PR opened/closed/merged-related activity and trends where supported by observed fields.</w:t>
            </w:r>
          </w:p>
        </w:tc>
      </w:tr>
      <w:tr>
        <w:tc>
          <w:tcPr>
            <w:tcW w:type="dxa" w:w="3024"/>
            <w:vAlign w:val="center"/>
          </w:tcPr>
          <w:p>
            <w:r>
              <w:t>gold_issue_activity</w:t>
            </w:r>
          </w:p>
        </w:tc>
        <w:tc>
          <w:tcPr>
            <w:tcW w:type="dxa" w:w="7056"/>
            <w:vAlign w:val="center"/>
          </w:tcPr>
          <w:p>
            <w:r>
              <w:t>Issue opening/closing/activity trends where sufficient lifecycle evidence exists.</w:t>
            </w:r>
          </w:p>
        </w:tc>
      </w:tr>
      <w:tr>
        <w:tc>
          <w:tcPr>
            <w:tcW w:type="dxa" w:w="3024"/>
            <w:vAlign w:val="center"/>
          </w:tcPr>
          <w:p>
            <w:r>
              <w:t>gold_review_activity</w:t>
            </w:r>
          </w:p>
        </w:tc>
        <w:tc>
          <w:tcPr>
            <w:tcW w:type="dxa" w:w="7056"/>
            <w:vAlign w:val="center"/>
          </w:tcPr>
          <w:p>
            <w:r>
              <w:t>Pull-request review and review-comment activity.</w:t>
            </w:r>
          </w:p>
        </w:tc>
      </w:tr>
      <w:tr>
        <w:tc>
          <w:tcPr>
            <w:tcW w:type="dxa" w:w="3024"/>
            <w:vAlign w:val="center"/>
          </w:tcPr>
          <w:p>
            <w:r>
              <w:t>gold_activity_anomalies</w:t>
            </w:r>
          </w:p>
        </w:tc>
        <w:tc>
          <w:tcPr>
            <w:tcW w:type="dxa" w:w="7056"/>
            <w:vAlign w:val="center"/>
          </w:tcPr>
          <w:p>
            <w:r>
              <w:t>Flags unusual repository activity using rolling baselines or percentage/z-score style comparisons.</w:t>
            </w:r>
          </w:p>
        </w:tc>
      </w:tr>
    </w:tbl>
    <w:p/>
    <w:p>
      <w:r>
        <w:t>Final Gold tables will be finalized during Phase 2 after implementation profiling. The purpose of this Phase 1 design is to establish an analytical blueprint without promising fields that the sampled payloads do not support.</w:t>
      </w:r>
    </w:p>
    <w:p>
      <w:pPr>
        <w:pStyle w:val="Heading1"/>
      </w:pPr>
      <w:r>
        <w:t>5. Business Intelligence &amp; Dashboard</w:t>
      </w:r>
    </w:p>
    <w:p>
      <w:r>
        <w:t>The final Power BI dashboard will present the project as an open-source ecosystem activity monitor. It will emphasize time trends, repository-level comparisons, event composition, collaboration activity, and unusual activity.</w:t>
      </w:r>
    </w:p>
    <w:p>
      <w:pPr>
        <w:pStyle w:val="Heading2"/>
      </w:pPr>
      <w:r>
        <w:t>5.1 Business Questions</w:t>
      </w:r>
    </w:p>
    <w:p>
      <w:pPr>
        <w:pStyle w:val="ListBullet"/>
      </w:pPr>
      <w:r>
        <w:t>Which repositories show the highest activity during a selected period?</w:t>
      </w:r>
    </w:p>
    <w:p>
      <w:pPr>
        <w:pStyle w:val="ListBullet"/>
      </w:pPr>
      <w:r>
        <w:t>Which repositories demonstrate the strongest recent activity momentum?</w:t>
      </w:r>
    </w:p>
    <w:p>
      <w:pPr>
        <w:pStyle w:val="ListBullet"/>
      </w:pPr>
      <w:r>
        <w:t>How does repository activity break down across pushes, pull requests, issues, reviews, releases, and other event types?</w:t>
      </w:r>
    </w:p>
    <w:p>
      <w:pPr>
        <w:pStyle w:val="ListBullet"/>
      </w:pPr>
      <w:r>
        <w:t>How does collaboration activity change over time?</w:t>
      </w:r>
    </w:p>
    <w:p>
      <w:pPr>
        <w:pStyle w:val="ListBullet"/>
      </w:pPr>
      <w:r>
        <w:t>Which repositories experience unusually high activity compared with their recent baseline?</w:t>
      </w:r>
    </w:p>
    <w:p>
      <w:pPr>
        <w:pStyle w:val="Heading2"/>
      </w:pPr>
      <w:r>
        <w:t>5.2 Planned Visuals</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Pr>
          <w:p>
            <w:r>
              <w:rPr>
                <w:b/>
              </w:rPr>
              <w:t>Dashboard Component</w:t>
            </w:r>
          </w:p>
        </w:tc>
        <w:tc>
          <w:tcPr>
            <w:tcW w:type="dxa" w:w="7200"/>
            <w:shd w:fill="D9EAF7"/>
            <w:vAlign w:val="center"/>
          </w:tcPr>
          <w:p>
            <w:r>
              <w:rPr>
                <w:b/>
              </w:rPr>
              <w:t>Planned Insight</w:t>
            </w:r>
          </w:p>
        </w:tc>
      </w:tr>
      <w:tr>
        <w:tc>
          <w:tcPr>
            <w:tcW w:type="dxa" w:w="2880"/>
            <w:vAlign w:val="center"/>
          </w:tcPr>
          <w:p>
            <w:r>
              <w:t>KPI cards</w:t>
            </w:r>
          </w:p>
        </w:tc>
        <w:tc>
          <w:tcPr>
            <w:tcW w:type="dxa" w:w="7200"/>
            <w:vAlign w:val="center"/>
          </w:tcPr>
          <w:p>
            <w:r>
              <w:t>Total events, active repositories, active contributors, and number of flagged activity surges.</w:t>
            </w:r>
          </w:p>
        </w:tc>
      </w:tr>
      <w:tr>
        <w:tc>
          <w:tcPr>
            <w:tcW w:type="dxa" w:w="2880"/>
            <w:vAlign w:val="center"/>
          </w:tcPr>
          <w:p>
            <w:r>
              <w:t>Repository momentum chart</w:t>
            </w:r>
          </w:p>
        </w:tc>
        <w:tc>
          <w:tcPr>
            <w:tcW w:type="dxa" w:w="7200"/>
            <w:vAlign w:val="center"/>
          </w:tcPr>
          <w:p>
            <w:r>
              <w:t>Top repositories by selected recent-activity/momentum measure.</w:t>
            </w:r>
          </w:p>
        </w:tc>
      </w:tr>
      <w:tr>
        <w:tc>
          <w:tcPr>
            <w:tcW w:type="dxa" w:w="2880"/>
            <w:vAlign w:val="center"/>
          </w:tcPr>
          <w:p>
            <w:r>
              <w:t>Activity trend</w:t>
            </w:r>
          </w:p>
        </w:tc>
        <w:tc>
          <w:tcPr>
            <w:tcW w:type="dxa" w:w="7200"/>
            <w:vAlign w:val="center"/>
          </w:tcPr>
          <w:p>
            <w:r>
              <w:t>Event volume over time with interactive date/repository/event-type filtering.</w:t>
            </w:r>
          </w:p>
        </w:tc>
      </w:tr>
      <w:tr>
        <w:tc>
          <w:tcPr>
            <w:tcW w:type="dxa" w:w="2880"/>
            <w:vAlign w:val="center"/>
          </w:tcPr>
          <w:p>
            <w:r>
              <w:t>Event composition</w:t>
            </w:r>
          </w:p>
        </w:tc>
        <w:tc>
          <w:tcPr>
            <w:tcW w:type="dxa" w:w="7200"/>
            <w:vAlign w:val="center"/>
          </w:tcPr>
          <w:p>
            <w:r>
              <w:t>Stacked/100% stacked view showing how activity types contribute to overall activity.</w:t>
            </w:r>
          </w:p>
        </w:tc>
      </w:tr>
      <w:tr>
        <w:tc>
          <w:tcPr>
            <w:tcW w:type="dxa" w:w="2880"/>
            <w:vAlign w:val="center"/>
          </w:tcPr>
          <w:p>
            <w:r>
              <w:t>Collaboration section</w:t>
            </w:r>
          </w:p>
        </w:tc>
        <w:tc>
          <w:tcPr>
            <w:tcW w:type="dxa" w:w="7200"/>
            <w:vAlign w:val="center"/>
          </w:tcPr>
          <w:p>
            <w:r>
              <w:t>PR/issue/review activity trends.</w:t>
            </w:r>
          </w:p>
        </w:tc>
      </w:tr>
      <w:tr>
        <w:tc>
          <w:tcPr>
            <w:tcW w:type="dxa" w:w="2880"/>
            <w:vAlign w:val="center"/>
          </w:tcPr>
          <w:p>
            <w:r>
              <w:t>Anomaly section</w:t>
            </w:r>
          </w:p>
        </w:tc>
        <w:tc>
          <w:tcPr>
            <w:tcW w:type="dxa" w:w="7200"/>
            <w:vAlign w:val="center"/>
          </w:tcPr>
          <w:p>
            <w:r>
              <w:t>Repositories with activity substantially above their recent baseline.</w:t>
            </w:r>
          </w:p>
        </w:tc>
      </w:tr>
    </w:tbl>
    <w:p/>
    <w:p>
      <w:r>
        <w:t>Programming-language analysis is not included as a core Phase 1 claim because the sampled GH Archive events do not directly provide a reliable repository programming-language field. A future enrichment source could be added if needed, but it is intentionally excluded from the core design to avoid unsupported assumptions.</w:t>
      </w:r>
    </w:p>
    <w:p>
      <w:pPr>
        <w:pStyle w:val="Heading1"/>
      </w:pPr>
      <w:r>
        <w:t>6. Engineering Setup &amp; FinOps</w:t>
      </w:r>
    </w:p>
    <w:p>
      <w:pPr>
        <w:pStyle w:val="Heading2"/>
      </w:pPr>
      <w:r>
        <w:t>6.1 Version Control</w:t>
      </w:r>
    </w:p>
    <w:p>
      <w:r>
        <w:t>A GitHub repository will contain the Phase 1 proposal, README, raw sample files, and profiling code. The sample files represent the actual source payloads used for Phase 1 discovery.</w:t>
      </w:r>
    </w:p>
    <w:p>
      <w:pPr>
        <w:pStyle w:val="Heading2"/>
      </w:pPr>
      <w:r>
        <w:t>6.2 Proposed Repository Structure</w:t>
      </w:r>
    </w:p>
    <w:p>
      <w:r>
        <w:rPr>
          <w:rFonts w:ascii="Courier New" w:hAnsi="Courier New"/>
        </w:rPr>
        <w:t>project-root/</w:t>
        <w:br/>
        <w:t>├── README.md</w:t>
        <w:br/>
        <w:t>├── docs/</w:t>
        <w:br/>
        <w:t>│   └── phase1_proposal.pdf</w:t>
        <w:br/>
        <w:t>├── data/</w:t>
        <w:br/>
        <w:t>│   └── samples/</w:t>
        <w:br/>
        <w:t>│       ├── 2026-09-25-10.json.gz</w:t>
        <w:br/>
        <w:t>│       ├── 2026-09-25-11.json.gz</w:t>
        <w:br/>
        <w:t>│       └── 2026-09-25-12.json.gz</w:t>
        <w:br/>
        <w:t>└── src/</w:t>
        <w:br/>
        <w:t xml:space="preserve">    └── profile_gharchive.py</w:t>
        <w:br/>
      </w:r>
    </w:p>
    <w:p>
      <w:pPr>
        <w:pStyle w:val="Heading2"/>
      </w:pPr>
      <w:r>
        <w:t>6.3 Databricks / Resource Strategy</w:t>
      </w:r>
    </w:p>
    <w:p>
      <w:r>
        <w:t>The implementation is planned for Databricks Free Edition, subject to the team's actual workspace limits. Free Edition is serverless-only, quota-limited, and currently allows up to five concurrent job tasks per account. If usage exceeds the applicable quota, compute can become unavailable until the quota resets. Therefore, the project will use bounded batch demonstrations rather than an uncontrolled 24/7 processing workload.</w:t>
      </w:r>
    </w:p>
    <w:p>
      <w:pPr>
        <w:pStyle w:val="ListBullet"/>
      </w:pPr>
      <w:r>
        <w:t>Use a small historical baseline sufficient to demonstrate distributed processing and meaningful analytics.</w:t>
      </w:r>
    </w:p>
    <w:p>
      <w:pPr>
        <w:pStyle w:val="ListBullet"/>
      </w:pPr>
      <w:r>
        <w:t>Process hourly incremental files as bounded jobs rather than keeping compute continuously active.</w:t>
      </w:r>
    </w:p>
    <w:p>
      <w:pPr>
        <w:pStyle w:val="ListBullet"/>
      </w:pPr>
      <w:r>
        <w:t>Avoid reprocessing the entire historical baseline when a new hourly batch arrives.</w:t>
      </w:r>
    </w:p>
    <w:p>
      <w:pPr>
        <w:pStyle w:val="ListBullet"/>
      </w:pPr>
      <w:r>
        <w:t>Make ingestion idempotent by recording processed hourly source identifiers.</w:t>
      </w:r>
    </w:p>
    <w:p>
      <w:pPr>
        <w:pStyle w:val="ListBullet"/>
      </w:pPr>
      <w:r>
        <w:t>Use only the event types and columns required by the analytical objectives after profiling.</w:t>
      </w:r>
    </w:p>
    <w:p>
      <w:pPr>
        <w:pStyle w:val="ListBullet"/>
      </w:pPr>
      <w:r>
        <w:t>Stop/avoid unnecessary compute after each development run and test with representative subsets before scaling the batch window.</w:t>
      </w:r>
    </w:p>
    <w:p>
      <w:pPr>
        <w:pStyle w:val="Heading1"/>
      </w:pPr>
      <w:r>
        <w:t>7. Evidence-Based Design Decisions</w:t>
      </w:r>
    </w:p>
    <w:tbl>
      <w:tblPr>
        <w:tblStyle w:val="TableGrid"/>
        <w:tblW w:type="auto" w:w="0"/>
        <w:jc w:val="center"/>
        <w:tblLook w:firstColumn="1" w:firstRow="1" w:lastColumn="0" w:lastRow="0" w:noHBand="0" w:noVBand="1" w:val="04A0"/>
      </w:tblPr>
      <w:tblGrid>
        <w:gridCol w:w="5040"/>
        <w:gridCol w:w="5040"/>
      </w:tblGrid>
      <w:tr>
        <w:tc>
          <w:tcPr>
            <w:tcW w:type="dxa" w:w="4032"/>
            <w:shd w:fill="D9EAF7"/>
            <w:vAlign w:val="center"/>
          </w:tcPr>
          <w:p>
            <w:r>
              <w:rPr>
                <w:b/>
              </w:rPr>
              <w:t>Observed Evidence</w:t>
            </w:r>
          </w:p>
        </w:tc>
        <w:tc>
          <w:tcPr>
            <w:tcW w:type="dxa" w:w="6048"/>
            <w:shd w:fill="D9EAF7"/>
            <w:vAlign w:val="center"/>
          </w:tcPr>
          <w:p>
            <w:r>
              <w:rPr>
                <w:b/>
              </w:rPr>
              <w:t>Resulting Design Decision</w:t>
            </w:r>
          </w:p>
        </w:tc>
      </w:tr>
      <w:tr>
        <w:tc>
          <w:tcPr>
            <w:tcW w:type="dxa" w:w="4032"/>
            <w:vAlign w:val="center"/>
          </w:tcPr>
          <w:p>
            <w:r>
              <w:t>Three consecutive hours contained 268,261 events in total.</w:t>
            </w:r>
          </w:p>
        </w:tc>
        <w:tc>
          <w:tcPr>
            <w:tcW w:type="dxa" w:w="6048"/>
            <w:vAlign w:val="center"/>
          </w:tcPr>
          <w:p>
            <w:r>
              <w:t>Use hourly GH Archive archives as the natural incremental unit.</w:t>
            </w:r>
          </w:p>
        </w:tc>
      </w:tr>
      <w:tr>
        <w:tc>
          <w:tcPr>
            <w:tcW w:type="dxa" w:w="4032"/>
            <w:vAlign w:val="center"/>
          </w:tcPr>
          <w:p>
            <w:r>
              <w:t>Compressed hourly samples were approximately 14.1–14.7 MB.</w:t>
            </w:r>
          </w:p>
        </w:tc>
        <w:tc>
          <w:tcPr>
            <w:tcW w:type="dxa" w:w="6048"/>
            <w:vAlign w:val="center"/>
          </w:tcPr>
          <w:p>
            <w:r>
              <w:t>Plan resource usage around bounded batches; estimate daily/weekly volume rather than running an unlimited stream.</w:t>
            </w:r>
          </w:p>
        </w:tc>
      </w:tr>
      <w:tr>
        <w:tc>
          <w:tcPr>
            <w:tcW w:type="dxa" w:w="4032"/>
            <w:vAlign w:val="center"/>
          </w:tcPr>
          <w:p>
            <w:r>
              <w:t>Event types have different payload structures.</w:t>
            </w:r>
          </w:p>
        </w:tc>
        <w:tc>
          <w:tcPr>
            <w:tcW w:type="dxa" w:w="6048"/>
            <w:vAlign w:val="center"/>
          </w:tcPr>
          <w:p>
            <w:r>
              <w:t>Use a common Silver event table plus event-specific Silver tables.</w:t>
            </w:r>
          </w:p>
        </w:tc>
      </w:tr>
      <w:tr>
        <w:tc>
          <w:tcPr>
            <w:tcW w:type="dxa" w:w="4032"/>
            <w:vAlign w:val="center"/>
          </w:tcPr>
          <w:p>
            <w:r>
              <w:t>Public actor/user information appears in nested payloads.</w:t>
            </w:r>
          </w:p>
        </w:tc>
        <w:tc>
          <w:tcPr>
            <w:tcW w:type="dxa" w:w="6048"/>
            <w:vAlign w:val="center"/>
          </w:tcPr>
          <w:p>
            <w:r>
              <w:t>Apply data minimization before Silver and avoid exposing raw user content in Gold.</w:t>
            </w:r>
          </w:p>
        </w:tc>
      </w:tr>
      <w:tr>
        <w:tc>
          <w:tcPr>
            <w:tcW w:type="dxa" w:w="4032"/>
            <w:vAlign w:val="center"/>
          </w:tcPr>
          <w:p>
            <w:r>
              <w:t>No overlapping event IDs were observed between consecutive samples.</w:t>
            </w:r>
          </w:p>
        </w:tc>
        <w:tc>
          <w:tcPr>
            <w:tcW w:type="dxa" w:w="6048"/>
            <w:vAlign w:val="center"/>
          </w:tcPr>
          <w:p>
            <w:r>
              <w:t>Use event_id and processed-hour metadata for duplicate protection/idempotent ingestion.</w:t>
            </w:r>
          </w:p>
        </w:tc>
      </w:tr>
      <w:tr>
        <w:tc>
          <w:tcPr>
            <w:tcW w:type="dxa" w:w="4032"/>
            <w:vAlign w:val="center"/>
          </w:tcPr>
          <w:p>
            <w:r>
              <w:t>Current PushEvent samples do not contain the old commit-array structure.</w:t>
            </w:r>
          </w:p>
        </w:tc>
        <w:tc>
          <w:tcPr>
            <w:tcW w:type="dxa" w:w="6048"/>
            <w:vAlign w:val="center"/>
          </w:tcPr>
          <w:p>
            <w:r>
              <w:t>Do not promise commit-level author analytics in the core project.</w:t>
            </w:r>
          </w:p>
        </w:tc>
      </w:tr>
      <w:tr>
        <w:tc>
          <w:tcPr>
            <w:tcW w:type="dxa" w:w="4032"/>
            <w:vAlign w:val="center"/>
          </w:tcPr>
          <w:p>
            <w:r>
              <w:t>Repository language is not directly supplied as a dependable field in these sampled events.</w:t>
            </w:r>
          </w:p>
        </w:tc>
        <w:tc>
          <w:tcPr>
            <w:tcW w:type="dxa" w:w="6048"/>
            <w:vAlign w:val="center"/>
          </w:tcPr>
          <w:p>
            <w:r>
              <w:t>Exclude programming-language analysis from the core Phase 1 scope unless a separate enrichment source is approved.</w:t>
            </w:r>
          </w:p>
        </w:tc>
      </w:tr>
    </w:tbl>
    <w:p/>
    <w:p>
      <w:pPr>
        <w:pStyle w:val="Heading1"/>
      </w:pPr>
      <w:r>
        <w:t>8. Phase Roadmap</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9EAF7"/>
            <w:vAlign w:val="center"/>
          </w:tcPr>
          <w:p>
            <w:r>
              <w:rPr>
                <w:b/>
              </w:rPr>
              <w:t>Phase</w:t>
            </w:r>
          </w:p>
        </w:tc>
        <w:tc>
          <w:tcPr>
            <w:tcW w:type="dxa" w:w="1872"/>
            <w:shd w:fill="D9EAF7"/>
            <w:vAlign w:val="center"/>
          </w:tcPr>
          <w:p>
            <w:r>
              <w:rPr>
                <w:b/>
              </w:rPr>
              <w:t>Deadline</w:t>
            </w:r>
          </w:p>
        </w:tc>
        <w:tc>
          <w:tcPr>
            <w:tcW w:type="dxa" w:w="7920"/>
            <w:shd w:fill="D9EAF7"/>
            <w:vAlign w:val="center"/>
          </w:tcPr>
          <w:p>
            <w:r>
              <w:rPr>
                <w:b/>
              </w:rPr>
              <w:t>Planned Work</w:t>
            </w:r>
          </w:p>
        </w:tc>
      </w:tr>
      <w:tr>
        <w:tc>
          <w:tcPr>
            <w:tcW w:type="dxa" w:w="1728"/>
            <w:vAlign w:val="center"/>
          </w:tcPr>
          <w:p>
            <w:r>
              <w:t>Phase 1</w:t>
            </w:r>
          </w:p>
        </w:tc>
        <w:tc>
          <w:tcPr>
            <w:tcW w:type="dxa" w:w="1872"/>
            <w:vAlign w:val="center"/>
          </w:tcPr>
          <w:p>
            <w:r>
              <w:t>26 Sep 2026</w:t>
            </w:r>
          </w:p>
        </w:tc>
        <w:tc>
          <w:tcPr>
            <w:tcW w:type="dxa" w:w="7920"/>
            <w:vAlign w:val="center"/>
          </w:tcPr>
          <w:p>
            <w:r>
              <w:t>Data discovery, sample acquisition, proposal, architecture, data model, dashboard plan, GitHub setup.</w:t>
            </w:r>
          </w:p>
        </w:tc>
      </w:tr>
      <w:tr>
        <w:tc>
          <w:tcPr>
            <w:tcW w:type="dxa" w:w="1728"/>
            <w:vAlign w:val="center"/>
          </w:tcPr>
          <w:p>
            <w:r>
              <w:t>Phase 2</w:t>
            </w:r>
          </w:p>
        </w:tc>
        <w:tc>
          <w:tcPr>
            <w:tcW w:type="dxa" w:w="1872"/>
            <w:vAlign w:val="center"/>
          </w:tcPr>
          <w:p>
            <w:r>
              <w:t>10 Oct 2026</w:t>
            </w:r>
          </w:p>
        </w:tc>
        <w:tc>
          <w:tcPr>
            <w:tcW w:type="dxa" w:w="7920"/>
            <w:vAlign w:val="center"/>
          </w:tcPr>
          <w:p>
            <w:r>
              <w:t>Implement ingestion, Bronze, Silver, Gold transformations and test incremental processing.</w:t>
            </w:r>
          </w:p>
        </w:tc>
      </w:tr>
      <w:tr>
        <w:tc>
          <w:tcPr>
            <w:tcW w:type="dxa" w:w="1728"/>
            <w:vAlign w:val="center"/>
          </w:tcPr>
          <w:p>
            <w:r>
              <w:t>Phase 3</w:t>
            </w:r>
          </w:p>
        </w:tc>
        <w:tc>
          <w:tcPr>
            <w:tcW w:type="dxa" w:w="1872"/>
            <w:vAlign w:val="center"/>
          </w:tcPr>
          <w:p>
            <w:r>
              <w:t>24 Oct 2026</w:t>
            </w:r>
          </w:p>
        </w:tc>
        <w:tc>
          <w:tcPr>
            <w:tcW w:type="dxa" w:w="7920"/>
            <w:vAlign w:val="center"/>
          </w:tcPr>
          <w:p>
            <w:r>
              <w:t>Build/polish Power BI dashboard, validate insights, document pipeline, and prepare final presentation.</w:t>
            </w:r>
          </w:p>
        </w:tc>
      </w:tr>
    </w:tbl>
    <w:p/>
    <w:p>
      <w:pPr>
        <w:pStyle w:val="Heading1"/>
      </w:pPr>
      <w:r>
        <w:t>9. Immediate Phase 1 Action Checklist</w:t>
      </w:r>
    </w:p>
    <w:p>
      <w:pPr>
        <w:pStyle w:val="ListBullet"/>
      </w:pPr>
      <w:r>
        <w:t>Create the GitHub repository.</w:t>
      </w:r>
    </w:p>
    <w:p>
      <w:pPr>
        <w:pStyle w:val="ListBullet"/>
      </w:pPr>
      <w:r>
        <w:t>Add the three .json.gz sample files under data/samples/.</w:t>
      </w:r>
    </w:p>
    <w:p>
      <w:pPr>
        <w:pStyle w:val="ListBullet"/>
      </w:pPr>
      <w:r>
        <w:t>Add a short README describing the project and repository structure.</w:t>
      </w:r>
    </w:p>
    <w:p>
      <w:pPr>
        <w:pStyle w:val="ListBullet"/>
      </w:pPr>
      <w:r>
        <w:t>Add the profiling script used to reproduce the sample statistics.</w:t>
      </w:r>
    </w:p>
    <w:p>
      <w:pPr>
        <w:pStyle w:val="ListBullet"/>
      </w:pPr>
      <w:r>
        <w:t>Insert the GitHub repository URL in this proposal.</w:t>
      </w:r>
    </w:p>
    <w:p>
      <w:pPr>
        <w:pStyle w:val="ListBullet"/>
      </w:pPr>
      <w:r>
        <w:t>Export this proposal to PDF for submission.</w:t>
      </w:r>
    </w:p>
    <w:p>
      <w:pPr>
        <w:pStyle w:val="ListBullet"/>
      </w:pPr>
      <w:r>
        <w:t>Submit the proposal document and repository link through the instructor's required Classroom submission mechanism.</w:t>
      </w:r>
    </w:p>
    <w:p>
      <w:pPr>
        <w:pStyle w:val="Heading1"/>
      </w:pPr>
      <w:r>
        <w:t>References</w:t>
      </w:r>
    </w:p>
    <w:p>
      <w:r>
        <w:t>GH Archive. Official project documentation and hourly archive format. https://www.gharchive.org/</w:t>
        <w:br/>
        <w:t>Databricks. Free Edition limitations, last updated 25 September 2026. https://docs.databricks.com/aws/en/getting-started/free-edition-limitations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