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38" w:name="X956458a5820c24680de41d43e834f824014a212"/>
    <w:p>
      <w:pPr>
        <w:pStyle w:val="Heading1"/>
      </w:pPr>
      <w:r>
        <w:t xml:space="preserve">Sequencer Service — Complete Design (Consolidated)</w:t>
      </w:r>
    </w:p>
    <w:p>
      <w:pPr>
        <w:pStyle w:val="FirstParagraph"/>
      </w:pPr>
      <w:r>
        <w:t xml:space="preserve">Supersedes the earlier standalone HLD/LLD drafts on leader election specifically. Everything else from</w:t>
      </w:r>
      <w:r>
        <w:t xml:space="preserve"> </w:t>
      </w:r>
      <w:r>
        <w:rPr>
          <w:rStyle w:val="VerbatimChar"/>
        </w:rPr>
        <w:t xml:space="preserve">sequencer_service_architecture.md</w:t>
      </w:r>
      <w:r>
        <w:t xml:space="preserve">,</w:t>
      </w:r>
      <w:r>
        <w:t xml:space="preserve"> </w:t>
      </w:r>
      <w:r>
        <w:rPr>
          <w:rStyle w:val="VerbatimChar"/>
        </w:rPr>
        <w:t xml:space="preserve">sequencer_service_lld.md</w:t>
      </w:r>
      <w:r>
        <w:t xml:space="preserve">, and</w:t>
      </w:r>
      <w:r>
        <w:t xml:space="preserve"> </w:t>
      </w:r>
      <w:r>
        <w:rPr>
          <w:rStyle w:val="VerbatimChar"/>
        </w:rPr>
        <w:t xml:space="preserve">sequencer_interface_contract.md</w:t>
      </w:r>
      <w:r>
        <w:t xml:space="preserve"> </w:t>
      </w:r>
      <w:r>
        <w:t xml:space="preserve">still applies except where this document explicitly revises it (leader election/HA, and the wire protocol’s producer/payload model).</w:t>
      </w:r>
    </w:p>
    <w:p>
      <w:r>
        <w:pict>
          <v:rect style="width:0;height:1.5pt" o:hralign="center" o:hrstd="t" o:hr="t"/>
        </w:pict>
      </w:r>
    </w:p>
    <w:bookmarkStart w:id="20" w:name="what-the-sequencer-is"/>
    <w:p>
      <w:pPr>
        <w:pStyle w:val="Heading2"/>
      </w:pPr>
      <w:r>
        <w:t xml:space="preserve">1. What the sequencer is</w:t>
      </w:r>
    </w:p>
    <w:p>
      <w:pPr>
        <w:pStyle w:val="FirstParagraph"/>
      </w:pPr>
      <w:r>
        <w:t xml:space="preserve">The single component in the hot path allowed to assign a global, monotonic, replayable sequence number to every order and system-originated action before anything else acts on it. Three producers feed it —</w:t>
      </w:r>
      <w:r>
        <w:t xml:space="preserve"> </w:t>
      </w:r>
      <w:r>
        <w:rPr>
          <w:bCs/>
          <w:b/>
        </w:rPr>
        <w:t xml:space="preserve">Order Entry, RMS, and OMS</w:t>
      </w:r>
      <w:r>
        <w:t xml:space="preserve"> </w:t>
      </w:r>
      <w:r>
        <w:t xml:space="preserve">(§5) — and everything downstream (RMS pre-trade checks, OMS, matching engine, market data) consumes only from the sequencer’s output, never directly from each other.</w:t>
      </w:r>
    </w:p>
    <w:p>
      <w:r>
        <w:pict>
          <v:rect style="width:0;height:1.5pt" o:hralign="center" o:hrstd="t" o:hr="t"/>
        </w:pict>
      </w:r>
    </w:p>
    <w:bookmarkEnd w:id="20"/>
    <w:bookmarkStart w:id="21" w:name="X7c17fe96e2bb16a78354aaf0c2de75f4b5ba297"/>
    <w:p>
      <w:pPr>
        <w:pStyle w:val="Heading2"/>
      </w:pPr>
      <w:r>
        <w:t xml:space="preserve">2. Core pipeline (unchanged from earlier design)</w:t>
      </w:r>
    </w:p>
    <w:p>
      <w:pPr>
        <w:pStyle w:val="SourceCode"/>
      </w:pPr>
      <w:r>
        <w:rPr>
          <w:rStyle w:val="VerbatimChar"/>
        </w:rPr>
        <w:t xml:space="preserve">Order Entry / RMS / OMS</w:t>
      </w:r>
      <w:r>
        <w:br/>
      </w:r>
      <w:r>
        <w:rPr>
          <w:rStyle w:val="VerbatimChar"/>
        </w:rPr>
        <w:t xml:space="preserve">      │</w:t>
      </w:r>
      <w:r>
        <w:br/>
      </w:r>
      <w:r>
        <w:rPr>
          <w:rStyle w:val="VerbatimChar"/>
        </w:rPr>
        <w:t xml:space="preserve">      ▼</w:t>
      </w:r>
      <w:r>
        <w:br/>
      </w:r>
      <w:r>
        <w:rPr>
          <w:rStyle w:val="VerbatimChar"/>
        </w:rPr>
        <w:t xml:space="preserve">Dual/multi-lane ingress (validate, dedup)</w:t>
      </w:r>
      <w:r>
        <w:br/>
      </w:r>
      <w:r>
        <w:rPr>
          <w:rStyle w:val="VerbatimChar"/>
        </w:rPr>
        <w:t xml:space="preserve">      │</w:t>
      </w:r>
      <w:r>
        <w:br/>
      </w:r>
      <w:r>
        <w:rPr>
          <w:rStyle w:val="VerbatimChar"/>
        </w:rPr>
        <w:t xml:space="preserve">      ▼</w:t>
      </w:r>
      <w:r>
        <w:br/>
      </w:r>
      <w:r>
        <w:rPr>
          <w:rStyle w:val="VerbatimChar"/>
        </w:rPr>
        <w:t xml:space="preserve">Priority merge (RMS &gt; OMS-derived &gt; Standard)</w:t>
      </w:r>
      <w:r>
        <w:br/>
      </w:r>
      <w:r>
        <w:rPr>
          <w:rStyle w:val="VerbatimChar"/>
        </w:rPr>
        <w:t xml:space="preserve">      │</w:t>
      </w:r>
      <w:r>
        <w:br/>
      </w:r>
      <w:r>
        <w:rPr>
          <w:rStyle w:val="VerbatimChar"/>
        </w:rPr>
        <w:t xml:space="preserve">      ▼</w:t>
      </w:r>
      <w:r>
        <w:br/>
      </w:r>
      <w:r>
        <w:rPr>
          <w:rStyle w:val="VerbatimChar"/>
        </w:rPr>
        <w:t xml:space="preserve">Sequencing core (single-writer, assigns seq# + term)</w:t>
      </w:r>
      <w:r>
        <w:br/>
      </w:r>
      <w:r>
        <w:rPr>
          <w:rStyle w:val="VerbatimChar"/>
        </w:rPr>
        <w:t xml:space="preserve">      │</w:t>
      </w:r>
      <w:r>
        <w:br/>
      </w:r>
      <w:r>
        <w:rPr>
          <w:rStyle w:val="VerbatimChar"/>
        </w:rPr>
        <w:t xml:space="preserve">      ├──► Aeron Archive (durable WAL, offset-addressable)</w:t>
      </w:r>
      <w:r>
        <w:br/>
      </w:r>
      <w:r>
        <w:rPr>
          <w:rStyle w:val="VerbatimChar"/>
        </w:rPr>
        <w:t xml:space="preserve">      ├──► openraft replication (to standby nodes)</w:t>
      </w:r>
      <w:r>
        <w:br/>
      </w:r>
      <w:r>
        <w:rPr>
          <w:rStyle w:val="VerbatimChar"/>
        </w:rPr>
        <w:t xml:space="preserve">      └──► Publisher (Aeron/SBE fan-out) ──► RMS, OMS, Matching Engine, Market Data</w:t>
      </w:r>
    </w:p>
    <w:p>
      <w:pPr>
        <w:pStyle w:val="FirstParagraph"/>
      </w:pPr>
      <w:r>
        <w:t xml:space="preserve">Stack: Rust throughout; Aeron (client + Archive) for transport and persistence;</w:t>
      </w:r>
      <w:r>
        <w:t xml:space="preserve"> </w:t>
      </w:r>
      <w:r>
        <w:rPr>
          <w:rStyle w:val="VerbatimChar"/>
        </w:rPr>
        <w:t xml:space="preserve">openraft</w:t>
      </w:r>
      <w:r>
        <w:t xml:space="preserve"> </w:t>
      </w:r>
      <w:r>
        <w:t xml:space="preserve">for consensus, since Aeron Cluster has no production-ready Rust client.</w:t>
      </w:r>
    </w:p>
    <w:p>
      <w:r>
        <w:pict>
          <v:rect style="width:0;height:1.5pt" o:hralign="center" o:hrstd="t" o:hr="t"/>
        </w:pict>
      </w:r>
    </w:p>
    <w:bookmarkEnd w:id="21"/>
    <w:bookmarkStart w:id="29" w:name="leader-election-ha-final-design"/>
    <w:p>
      <w:pPr>
        <w:pStyle w:val="Heading2"/>
      </w:pPr>
      <w:r>
        <w:t xml:space="preserve">3. Leader election &amp; HA — final design</w:t>
      </w:r>
    </w:p>
    <w:p>
      <w:pPr>
        <w:pStyle w:val="FirstParagraph"/>
      </w:pPr>
      <w:r>
        <w:t xml:space="preserve">This section reflects the decisions worked through in review, replacing the earlier POC-derived approach.</w:t>
      </w:r>
    </w:p>
    <w:bookmarkStart w:id="22" w:name="the-hard-rule"/>
    <w:p>
      <w:pPr>
        <w:pStyle w:val="Heading3"/>
      </w:pPr>
      <w:r>
        <w:t xml:space="preserve">3.1 The hard rule</w:t>
      </w:r>
    </w:p>
    <w:p>
      <w:pPr>
        <w:pStyle w:val="FirstParagraph"/>
      </w:pPr>
      <w:r>
        <w:rPr>
          <w:bCs/>
          <w:b/>
        </w:rPr>
        <w:t xml:space="preserve">A node never decides, on its own, that it’s safe to lead.</w:t>
      </w:r>
      <w:r>
        <w:t xml:space="preserve"> </w:t>
      </w:r>
      <w:r>
        <w:t xml:space="preserve">Leadership always requires proof — either standard Raft quorum (2 of 3 nodes agreeing), or, in the degraded case below, independent corroboration. No local timeout alone is ever sufficient grounds to promote.</w:t>
      </w:r>
    </w:p>
    <w:bookmarkEnd w:id="22"/>
    <w:bookmarkStart w:id="23" w:name="normal-operation"/>
    <w:p>
      <w:pPr>
        <w:pStyle w:val="Heading3"/>
      </w:pPr>
      <w:r>
        <w:t xml:space="preserve">3.2 Normal operation</w:t>
      </w:r>
    </w:p>
    <w:p>
      <w:pPr>
        <w:pStyle w:val="FirstParagraph"/>
      </w:pPr>
      <w:r>
        <w:t xml:space="preserve">Standard</w:t>
      </w:r>
      <w:r>
        <w:t xml:space="preserve"> </w:t>
      </w:r>
      <w:r>
        <w:rPr>
          <w:rStyle w:val="VerbatimChar"/>
        </w:rPr>
        <w:t xml:space="preserve">openraft</w:t>
      </w:r>
      <w:r>
        <w:t xml:space="preserve"> </w:t>
      </w:r>
      <w:r>
        <w:t xml:space="preserve">behavior: heartbeats every 50ms, randomized election timeout 150–300ms, quorum = majority of the 3-node cluster. If one node fails, the other two retain quorum and elect a new leader automatically — no special handling needed, no downtime for order flow. Typical failover ~150–300ms, worst case &lt;350ms.</w:t>
      </w:r>
    </w:p>
    <w:bookmarkEnd w:id="23"/>
    <w:bookmarkStart w:id="24" w:name="X3c79b96e43b402476436993b6fdd0bcf0184f9b"/>
    <w:p>
      <w:pPr>
        <w:pStyle w:val="Heading3"/>
      </w:pPr>
      <w:r>
        <w:t xml:space="preserve">3.3 The degraded case — a node loses contact with both peers</w:t>
      </w:r>
    </w:p>
    <w:p>
      <w:pPr>
        <w:pStyle w:val="FirstParagraph"/>
      </w:pPr>
      <w:r>
        <w:t xml:space="preserve">This is the scenario that matters: a node can no longer reach</w:t>
      </w:r>
      <w:r>
        <w:t xml:space="preserve"> </w:t>
      </w:r>
      <w:r>
        <w:rPr>
          <w:iCs/>
          <w:i/>
        </w:rPr>
        <w:t xml:space="preserve">either</w:t>
      </w:r>
      <w:r>
        <w:t xml:space="preserve"> </w:t>
      </w:r>
      <w:r>
        <w:t xml:space="preserve">other sequencer node. It cannot tell, from the inside, whether that’s because both peers are genuinely down, or because it is the one that got partitioned while the other two are fine and have already elected a leader between themselves. Treating these as the same thing is what causes split-brain — so the system doesn’t.</w:t>
      </w:r>
    </w:p>
    <w:p>
      <w:pPr>
        <w:pStyle w:val="BodyText"/>
      </w:pPr>
      <w:r>
        <w:rPr>
          <w:bCs/>
          <w:b/>
        </w:rPr>
        <w:t xml:space="preserve">Default behavior: stay up, stop finalizing.</w:t>
      </w:r>
      <w:r>
        <w:t xml:space="preserve"> </w:t>
      </w:r>
      <w:r>
        <w:t xml:space="preserve">The node keeps accepting and durably queuing incoming orders and RMS/OMS messages — nothing is rejected, nothing is dropped — but it does</w:t>
      </w:r>
      <w:r>
        <w:t xml:space="preserve"> </w:t>
      </w:r>
      <w:r>
        <w:rPr>
          <w:bCs/>
          <w:b/>
        </w:rPr>
        <w:t xml:space="preserve">not</w:t>
      </w:r>
      <w:r>
        <w:t xml:space="preserve"> </w:t>
      </w:r>
      <w:r>
        <w:t xml:space="preserve">run the sequencing step: no sequence numbers assigned, nothing published to RMS, OMS, matching engine, or market data. This is a pause on</w:t>
      </w:r>
      <w:r>
        <w:t xml:space="preserve"> </w:t>
      </w:r>
      <w:r>
        <w:rPr>
          <w:iCs/>
          <w:i/>
        </w:rPr>
        <w:t xml:space="preserve">finalizing</w:t>
      </w:r>
      <w:r>
        <w:t xml:space="preserve">, not a pause on</w:t>
      </w:r>
      <w:r>
        <w:t xml:space="preserve"> </w:t>
      </w:r>
      <w:r>
        <w:rPr>
          <w:iCs/>
          <w:i/>
        </w:rPr>
        <w:t xml:space="preserve">receiving</w:t>
      </w:r>
      <w:r>
        <w:t xml:space="preserve">.</w:t>
      </w:r>
    </w:p>
    <w:bookmarkEnd w:id="24"/>
    <w:bookmarkStart w:id="25" w:name="X4e56a55b858b78fd33266c2f18c04a4d4fa8f34"/>
    <w:p>
      <w:pPr>
        <w:pStyle w:val="Heading3"/>
      </w:pPr>
      <w:r>
        <w:t xml:space="preserve">3.4 Recovering availability in the degraded case — corroboration, not guessing</w:t>
      </w:r>
    </w:p>
    <w:p>
      <w:pPr>
        <w:pStyle w:val="FirstParagraph"/>
      </w:pPr>
      <w:r>
        <w:t xml:space="preserve">The node is allowed to promote itself and resume sequencing</w:t>
      </w:r>
      <w:r>
        <w:t xml:space="preserve"> </w:t>
      </w:r>
      <w:r>
        <w:rPr>
          <w:bCs/>
          <w:b/>
        </w:rPr>
        <w:t xml:space="preserve">only if it obtains independent corroboration</w:t>
      </w:r>
      <w:r>
        <w:t xml:space="preserve"> </w:t>
      </w:r>
      <w:r>
        <w:t xml:space="preserve">that the other two peers are genuinely down, via two layers, tried in order:</w:t>
      </w:r>
    </w:p>
    <w:p>
      <w:pPr>
        <w:numPr>
          <w:ilvl w:val="0"/>
          <w:numId w:val="1001"/>
        </w:numPr>
        <w:pStyle w:val="Compact"/>
      </w:pPr>
      <w:r>
        <w:rPr>
          <w:bCs/>
          <w:b/>
        </w:rPr>
        <w:t xml:space="preserve">Direct peer-to-peer retry.</w:t>
      </w:r>
      <w:r>
        <w:t xml:space="preserve"> </w:t>
      </w:r>
      <w:r>
        <w:t xml:space="preserve">Even in a partial/asymmetric partition, a node may still be able to reach one peer directly, who can in turn confirm or deny reachability to the third. Cheapest and fastest check, no extra infrastructure.</w:t>
      </w:r>
    </w:p>
    <w:p>
      <w:pPr>
        <w:numPr>
          <w:ilvl w:val="0"/>
          <w:numId w:val="1001"/>
        </w:numPr>
        <w:pStyle w:val="Compact"/>
      </w:pPr>
      <w:r>
        <w:rPr>
          <w:bCs/>
          <w:b/>
        </w:rPr>
        <w:t xml:space="preserve">Independent witness/arbiter.</w:t>
      </w:r>
      <w:r>
        <w:t xml:space="preserve"> </w:t>
      </w:r>
      <w:r>
        <w:t xml:space="preserve">A lightweight, non-sequencing process reachable over a genuinely separate network path (different link, ideally different physical/AZ placement) from the sequencer nodes’ own inter-node network. It only answers one question: can it reach the other two sequencer nodes right now? If it can’t either, that’s real corroborating evidence — safe to promote. If it can, it tells the isolated node</w:t>
      </w:r>
      <w:r>
        <w:t xml:space="preserve"> </w:t>
      </w:r>
      <w:r>
        <w:t xml:space="preserve">“</w:t>
      </w:r>
      <w:r>
        <w:t xml:space="preserve">they’re fine, you’re the one cut off</w:t>
      </w:r>
      <w:r>
        <w:t xml:space="preserve">”</w:t>
      </w:r>
      <w:r>
        <w:t xml:space="preserve"> </w:t>
      </w:r>
      <w:r>
        <w:t xml:space="preserve">— the node stays passive.</w:t>
      </w:r>
    </w:p>
    <w:p>
      <w:pPr>
        <w:pStyle w:val="FirstParagraph"/>
      </w:pPr>
      <w:r>
        <w:rPr>
          <w:bCs/>
          <w:b/>
        </w:rPr>
        <w:t xml:space="preserve">If no corroboration is available at all</w:t>
      </w:r>
      <w:r>
        <w:t xml:space="preserve"> </w:t>
      </w:r>
      <w:r>
        <w:t xml:space="preserve">(peers unreachable</w:t>
      </w:r>
      <w:r>
        <w:t xml:space="preserve"> </w:t>
      </w:r>
      <w:r>
        <w:rPr>
          <w:iCs/>
          <w:i/>
        </w:rPr>
        <w:t xml:space="preserve">and</w:t>
      </w:r>
      <w:r>
        <w:t xml:space="preserve"> </w:t>
      </w:r>
      <w:r>
        <w:t xml:space="preserve">the witness unreachable), the default holds:</w:t>
      </w:r>
      <w:r>
        <w:t xml:space="preserve"> </w:t>
      </w:r>
      <w:r>
        <w:rPr>
          <w:bCs/>
          <w:b/>
        </w:rPr>
        <w:t xml:space="preserve">stay passive, keep queuing, do not promote.</w:t>
      </w:r>
      <w:r>
        <w:t xml:space="preserve"> </w:t>
      </w:r>
      <w:r>
        <w:t xml:space="preserve">Uncertainty always resolves toward caution, never toward action.</w:t>
      </w:r>
    </w:p>
    <w:p>
      <w:pPr>
        <w:pStyle w:val="BodyText"/>
      </w:pPr>
      <w:r>
        <w:t xml:space="preserve">Witnesses should not be a new single point of failure: run more than one, on independent infrastructure, and require majority agreement among them if more than one is deployed.</w:t>
      </w:r>
    </w:p>
    <w:bookmarkEnd w:id="25"/>
    <w:bookmarkStart w:id="26" w:name="X04f8dfadd446d16765de52bf17ee364e379b16a"/>
    <w:p>
      <w:pPr>
        <w:pStyle w:val="Heading3"/>
      </w:pPr>
      <w:r>
        <w:t xml:space="preserve">3.5 Downstream fencing — the safety net if promotion is ever wrong anyway</w:t>
      </w:r>
    </w:p>
    <w:p>
      <w:pPr>
        <w:pStyle w:val="FirstParagraph"/>
      </w:pPr>
      <w:r>
        <w:t xml:space="preserve">Every sequenced batch carries the</w:t>
      </w:r>
      <w:r>
        <w:t xml:space="preserve"> </w:t>
      </w:r>
      <w:r>
        <w:rPr>
          <w:rStyle w:val="VerbatimChar"/>
        </w:rPr>
        <w:t xml:space="preserve">term</w:t>
      </w:r>
      <w:r>
        <w:t xml:space="preserve"> </w:t>
      </w:r>
      <w:r>
        <w:t xml:space="preserve">(generation number) it was assigned under — already part of the wire format (</w:t>
      </w:r>
      <w:r>
        <w:rPr>
          <w:rStyle w:val="VerbatimChar"/>
        </w:rPr>
        <w:t xml:space="preserve">SequencedEvent.term</w:t>
      </w:r>
      <w:r>
        <w:t xml:space="preserve">).</w:t>
      </w:r>
      <w:r>
        <w:t xml:space="preserve"> </w:t>
      </w:r>
      <w:r>
        <w:rPr>
          <w:bCs/>
          <w:b/>
        </w:rPr>
        <w:t xml:space="preserve">RMS, OMS, and the matching engine each track the highest term they’ve seen and silently discard anything from a lower term.</w:t>
      </w:r>
    </w:p>
    <w:p>
      <w:pPr>
        <w:pStyle w:val="BodyText"/>
      </w:pPr>
      <w:r>
        <w:t xml:space="preserve">This means even if a corroborated promotion later turns out to be mistaken (e.g., a second, overlapping partition), the damage is contained: a stale node’s sequenced output is generated but never acted on downstream as real trading history — no liquidation, no fill, no risk action ever executes off it. This is the layer that makes an imperfect upstream decision non-catastrophic rather than the layer that prevents the decision from happening.</w:t>
      </w:r>
    </w:p>
    <w:bookmarkEnd w:id="26"/>
    <w:bookmarkStart w:id="27" w:name="X3271b15c28229ed608012f6f4d20ea819c1a9a8"/>
    <w:p>
      <w:pPr>
        <w:pStyle w:val="Heading3"/>
      </w:pPr>
      <w:r>
        <w:t xml:space="preserve">3.6 Replay channel — for consumers that fall behind, not for recovering discarded work</w:t>
      </w:r>
    </w:p>
    <w:p>
      <w:pPr>
        <w:pStyle w:val="FirstParagraph"/>
      </w:pPr>
      <w:r>
        <w:t xml:space="preserve">A dedicated, point-to-point request/response channel, separate from the live broadcast stream:</w:t>
      </w:r>
    </w:p>
    <w:p>
      <w:pPr>
        <w:numPr>
          <w:ilvl w:val="0"/>
          <w:numId w:val="1002"/>
        </w:numPr>
        <w:pStyle w:val="Compact"/>
      </w:pPr>
      <w:r>
        <w:t xml:space="preserve">Any consumer (RMS, OMS, matching engine, market data) that detects a sequence gap sends a</w:t>
      </w:r>
      <w:r>
        <w:t xml:space="preserve"> </w:t>
      </w:r>
      <w:r>
        <w:rPr>
          <w:rStyle w:val="VerbatimChar"/>
        </w:rPr>
        <w:t xml:space="preserve">ReplayRequest { from_sequence, to_sequence }</w:t>
      </w:r>
      <w:r>
        <w:t xml:space="preserve">.</w:t>
      </w:r>
    </w:p>
    <w:p>
      <w:pPr>
        <w:numPr>
          <w:ilvl w:val="0"/>
          <w:numId w:val="1002"/>
        </w:numPr>
        <w:pStyle w:val="Compact"/>
      </w:pPr>
      <w:r>
        <w:rPr>
          <w:bCs/>
          <w:b/>
        </w:rPr>
        <w:t xml:space="preserve">Served by any node holding the committed log — leader or standby</w:t>
      </w:r>
      <w:r>
        <w:t xml:space="preserve"> </w:t>
      </w:r>
      <w:r>
        <w:t xml:space="preserve">— keeping replay traffic off the sequencing hot path entirely.</w:t>
      </w:r>
    </w:p>
    <w:p>
      <w:pPr>
        <w:numPr>
          <w:ilvl w:val="0"/>
          <w:numId w:val="1002"/>
        </w:numPr>
        <w:pStyle w:val="Compact"/>
      </w:pPr>
      <w:r>
        <w:rPr>
          <w:bCs/>
          <w:b/>
        </w:rPr>
        <w:t xml:space="preserve">Only ever serves committed sequence numbers</w:t>
      </w:r>
      <w:r>
        <w:t xml:space="preserve"> </w:t>
      </w:r>
      <w:r>
        <w:t xml:space="preserve">(bounded by</w:t>
      </w:r>
      <w:r>
        <w:t xml:space="preserve"> </w:t>
      </w:r>
      <w:r>
        <w:rPr>
          <w:rStyle w:val="VerbatimChar"/>
        </w:rPr>
        <w:t xml:space="preserve">last_committed_sequence</w:t>
      </w:r>
      <w:r>
        <w:t xml:space="preserve"> </w:t>
      </w:r>
      <w:r>
        <w:t xml:space="preserve">in the openraft state machine) — consistent with §3.5’s fencing rule. Nothing that never reached quorum is ever replayable.</w:t>
      </w:r>
    </w:p>
    <w:p>
      <w:pPr>
        <w:numPr>
          <w:ilvl w:val="0"/>
          <w:numId w:val="1002"/>
        </w:numPr>
        <w:pStyle w:val="Compact"/>
      </w:pPr>
      <w:r>
        <w:t xml:space="preserve">This is distinct from client retry: a rejected/never-finalized order is recovered by the</w:t>
      </w:r>
      <w:r>
        <w:t xml:space="preserve"> </w:t>
      </w:r>
      <w:r>
        <w:rPr>
          <w:iCs/>
          <w:i/>
        </w:rPr>
        <w:t xml:space="preserve">originating client</w:t>
      </w:r>
      <w:r>
        <w:t xml:space="preserve"> </w:t>
      </w:r>
      <w:r>
        <w:t xml:space="preserve">resending (per the existing</w:t>
      </w:r>
      <w:r>
        <w:t xml:space="preserve"> </w:t>
      </w:r>
      <w:r>
        <w:rPr>
          <w:rStyle w:val="VerbatimChar"/>
        </w:rPr>
        <w:t xml:space="preserve">client_seq</w:t>
      </w:r>
      <w:r>
        <w:t xml:space="preserve"> </w:t>
      </w:r>
      <w:r>
        <w:t xml:space="preserve">dedup semantics), not by replay. Replay is for</w:t>
      </w:r>
      <w:r>
        <w:t xml:space="preserve"> </w:t>
      </w:r>
      <w:r>
        <w:t xml:space="preserve">“</w:t>
      </w:r>
      <w:r>
        <w:t xml:space="preserve">help me catch up on real history I missed,</w:t>
      </w:r>
      <w:r>
        <w:t xml:space="preserve">”</w:t>
      </w:r>
      <w:r>
        <w:t xml:space="preserve"> </w:t>
      </w:r>
      <w:r>
        <w:t xml:space="preserve">not</w:t>
      </w:r>
      <w:r>
        <w:t xml:space="preserve"> </w:t>
      </w:r>
      <w:r>
        <w:t xml:space="preserve">“</w:t>
      </w:r>
      <w:r>
        <w:t xml:space="preserve">give me back something that was never actually accepted.</w:t>
      </w:r>
      <w:r>
        <w:t xml:space="preserve">”</w:t>
      </w:r>
    </w:p>
    <w:bookmarkEnd w:id="27"/>
    <w:bookmarkStart w:id="28" w:name="what-was-deliberately-dropped"/>
    <w:p>
      <w:pPr>
        <w:pStyle w:val="Heading3"/>
      </w:pPr>
      <w:r>
        <w:t xml:space="preserve">3.7 What was deliberately dropped</w:t>
      </w:r>
    </w:p>
    <w:p>
      <w:pPr>
        <w:numPr>
          <w:ilvl w:val="0"/>
          <w:numId w:val="1003"/>
        </w:numPr>
        <w:pStyle w:val="Compact"/>
      </w:pPr>
      <w:r>
        <w:rPr>
          <w:bCs/>
          <w:b/>
        </w:rPr>
        <w:t xml:space="preserve">No 5-node cluster</w:t>
      </w:r>
      <w:r>
        <w:t xml:space="preserve"> </w:t>
      </w:r>
      <w:r>
        <w:t xml:space="preserve">— ruled out on cost. The witness + fencing + replay combination substitutes for most of the safety benefit at a fraction of the infrastructure cost of two extra full sequencer nodes.</w:t>
      </w:r>
    </w:p>
    <w:p>
      <w:pPr>
        <w:numPr>
          <w:ilvl w:val="0"/>
          <w:numId w:val="1003"/>
        </w:numPr>
        <w:pStyle w:val="Compact"/>
      </w:pPr>
      <w:r>
        <w:rPr>
          <w:bCs/>
          <w:b/>
        </w:rPr>
        <w:t xml:space="preserve">No automatic, uncorroborated single-node self-promotion</w:t>
      </w:r>
      <w:r>
        <w:t xml:space="preserve"> </w:t>
      </w:r>
      <w:r>
        <w:t xml:space="preserve">— the pattern in the original leader-election POC (</w:t>
      </w:r>
      <w:r>
        <w:rPr>
          <w:rStyle w:val="VerbatimChar"/>
        </w:rPr>
        <w:t xml:space="preserve">PEER_SILENT_MS</w:t>
      </w:r>
      <w:r>
        <w:t xml:space="preserve"> </w:t>
      </w:r>
      <w:r>
        <w:t xml:space="preserve">timeout alone). It cannot distinguish a genuine dual failure from a partition, and was assessed to make split-brain the</w:t>
      </w:r>
      <w:r>
        <w:t xml:space="preserve"> </w:t>
      </w:r>
      <w:r>
        <w:rPr>
          <w:iCs/>
          <w:i/>
        </w:rPr>
        <w:t xml:space="preserve">guaranteed</w:t>
      </w:r>
      <w:r>
        <w:t xml:space="preserve"> </w:t>
      </w:r>
      <w:r>
        <w:t xml:space="preserve">outcome in the partition case, not just a rare risk.</w:t>
      </w:r>
    </w:p>
    <w:p>
      <w:r>
        <w:pict>
          <v:rect style="width:0;height:1.5pt" o:hralign="center" o:hrstd="t" o:hr="t"/>
        </w:pict>
      </w:r>
    </w:p>
    <w:bookmarkEnd w:id="28"/>
    <w:bookmarkEnd w:id="29"/>
    <w:bookmarkStart w:id="30" w:name="updated-component-inventory"/>
    <w:p>
      <w:pPr>
        <w:pStyle w:val="Heading2"/>
      </w:pPr>
      <w:r>
        <w:t xml:space="preserve">4. Updated component inventory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Component</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Order Entry / RMS / OMS producers</w:t>
            </w:r>
          </w:p>
        </w:tc>
        <w:tc>
          <w:tcPr/>
          <w:p>
            <w:pPr>
              <w:pStyle w:val="Compact"/>
              <w:jc w:val="left"/>
            </w:pPr>
            <w:r>
              <w:t xml:space="preserve">Three sources feeding the sequencer, not two — see §5</w:t>
            </w:r>
          </w:p>
        </w:tc>
      </w:tr>
      <w:tr>
        <w:tc>
          <w:tcPr/>
          <w:p>
            <w:pPr>
              <w:pStyle w:val="Compact"/>
              <w:jc w:val="left"/>
            </w:pPr>
            <w:r>
              <w:t xml:space="preserve">2</w:t>
            </w:r>
          </w:p>
        </w:tc>
        <w:tc>
          <w:tcPr/>
          <w:p>
            <w:pPr>
              <w:pStyle w:val="Compact"/>
              <w:jc w:val="left"/>
            </w:pPr>
            <w:r>
              <w:t xml:space="preserve">Multi-lane ingress</w:t>
            </w:r>
          </w:p>
        </w:tc>
        <w:tc>
          <w:tcPr/>
          <w:p>
            <w:pPr>
              <w:pStyle w:val="Compact"/>
              <w:jc w:val="left"/>
            </w:pPr>
            <w:r>
              <w:t xml:space="preserve">RMS control lane, OMS-derived lane, standard order lane</w:t>
            </w:r>
          </w:p>
        </w:tc>
      </w:tr>
      <w:tr>
        <w:tc>
          <w:tcPr/>
          <w:p>
            <w:pPr>
              <w:pStyle w:val="Compact"/>
              <w:jc w:val="left"/>
            </w:pPr>
            <w:r>
              <w:t xml:space="preserve">3</w:t>
            </w:r>
          </w:p>
        </w:tc>
        <w:tc>
          <w:tcPr/>
          <w:p>
            <w:pPr>
              <w:pStyle w:val="Compact"/>
              <w:jc w:val="left"/>
            </w:pPr>
            <w:r>
              <w:t xml:space="preserve">Priority merge</w:t>
            </w:r>
          </w:p>
        </w:tc>
        <w:tc>
          <w:tcPr/>
          <w:p>
            <w:pPr>
              <w:pStyle w:val="Compact"/>
              <w:jc w:val="left"/>
            </w:pPr>
            <w:r>
              <w:t xml:space="preserve">RMS drains first, then OMS-derived, then standard — bounded caps on each to prevent starvation</w:t>
            </w:r>
          </w:p>
        </w:tc>
      </w:tr>
      <w:tr>
        <w:tc>
          <w:tcPr/>
          <w:p>
            <w:pPr>
              <w:pStyle w:val="Compact"/>
              <w:jc w:val="left"/>
            </w:pPr>
            <w:r>
              <w:t xml:space="preserve">4</w:t>
            </w:r>
          </w:p>
        </w:tc>
        <w:tc>
          <w:tcPr/>
          <w:p>
            <w:pPr>
              <w:pStyle w:val="Compact"/>
              <w:jc w:val="left"/>
            </w:pPr>
            <w:r>
              <w:t xml:space="preserve">Sequencing core</w:t>
            </w:r>
          </w:p>
        </w:tc>
        <w:tc>
          <w:tcPr/>
          <w:p>
            <w:pPr>
              <w:pStyle w:val="Compact"/>
              <w:jc w:val="left"/>
            </w:pPr>
            <w:r>
              <w:t xml:space="preserve">Single-writer, assigns</w:t>
            </w:r>
            <w:r>
              <w:t xml:space="preserve"> </w:t>
            </w:r>
            <w:r>
              <w:rPr>
                <w:rStyle w:val="VerbatimChar"/>
              </w:rPr>
              <w:t xml:space="preserve">sequence</w:t>
            </w:r>
            <w:r>
              <w:t xml:space="preserve"> </w:t>
            </w:r>
            <w:r>
              <w:t xml:space="preserve">+</w:t>
            </w:r>
            <w:r>
              <w:t xml:space="preserve"> </w:t>
            </w:r>
            <w:r>
              <w:rPr>
                <w:rStyle w:val="VerbatimChar"/>
              </w:rPr>
              <w:t xml:space="preserve">term</w:t>
            </w:r>
          </w:p>
        </w:tc>
      </w:tr>
      <w:tr>
        <w:tc>
          <w:tcPr/>
          <w:p>
            <w:pPr>
              <w:pStyle w:val="Compact"/>
              <w:jc w:val="left"/>
            </w:pPr>
            <w:r>
              <w:t xml:space="preserve">5</w:t>
            </w:r>
          </w:p>
        </w:tc>
        <w:tc>
          <w:tcPr/>
          <w:p>
            <w:pPr>
              <w:pStyle w:val="Compact"/>
              <w:jc w:val="left"/>
            </w:pPr>
            <w:r>
              <w:t xml:space="preserve">Aeron Archive</w:t>
            </w:r>
          </w:p>
        </w:tc>
        <w:tc>
          <w:tcPr/>
          <w:p>
            <w:pPr>
              <w:pStyle w:val="Compact"/>
              <w:jc w:val="left"/>
            </w:pPr>
            <w:r>
              <w:t xml:space="preserve">Durable WAL; also backs the replay channel (§3.6)</w:t>
            </w:r>
          </w:p>
        </w:tc>
      </w:tr>
      <w:tr>
        <w:tc>
          <w:tcPr/>
          <w:p>
            <w:pPr>
              <w:pStyle w:val="Compact"/>
              <w:jc w:val="left"/>
            </w:pPr>
            <w:r>
              <w:t xml:space="preserve">6</w:t>
            </w:r>
          </w:p>
        </w:tc>
        <w:tc>
          <w:tcPr/>
          <w:p>
            <w:pPr>
              <w:pStyle w:val="Compact"/>
              <w:jc w:val="left"/>
            </w:pPr>
            <w:r>
              <w:rPr>
                <w:rStyle w:val="VerbatimChar"/>
              </w:rPr>
              <w:t xml:space="preserve">openraft</w:t>
            </w:r>
            <w:r>
              <w:t xml:space="preserve"> </w:t>
            </w:r>
            <w:r>
              <w:t xml:space="preserve">replication</w:t>
            </w:r>
          </w:p>
        </w:tc>
        <w:tc>
          <w:tcPr/>
          <w:p>
            <w:pPr>
              <w:pStyle w:val="Compact"/>
              <w:jc w:val="left"/>
            </w:pPr>
            <w:r>
              <w:t xml:space="preserve">Consensus, log replication, leader election (§3.2)</w:t>
            </w:r>
          </w:p>
        </w:tc>
      </w:tr>
      <w:tr>
        <w:tc>
          <w:tcPr/>
          <w:p>
            <w:pPr>
              <w:pStyle w:val="Compact"/>
              <w:jc w:val="left"/>
            </w:pPr>
            <w:r>
              <w:t xml:space="preserve">7</w:t>
            </w:r>
          </w:p>
        </w:tc>
        <w:tc>
          <w:tcPr/>
          <w:p>
            <w:pPr>
              <w:pStyle w:val="Compact"/>
              <w:jc w:val="left"/>
            </w:pPr>
            <w:r>
              <w:t xml:space="preserve">Witness/arbiter</w:t>
            </w:r>
          </w:p>
        </w:tc>
        <w:tc>
          <w:tcPr/>
          <w:p>
            <w:pPr>
              <w:pStyle w:val="Compact"/>
              <w:jc w:val="left"/>
            </w:pPr>
            <w:r>
              <w:t xml:space="preserve">New — independent reachability check for degraded-case corroboration (§3.4)</w:t>
            </w:r>
          </w:p>
        </w:tc>
      </w:tr>
      <w:tr>
        <w:tc>
          <w:tcPr/>
          <w:p>
            <w:pPr>
              <w:pStyle w:val="Compact"/>
              <w:jc w:val="left"/>
            </w:pPr>
            <w:r>
              <w:t xml:space="preserve">8</w:t>
            </w:r>
          </w:p>
        </w:tc>
        <w:tc>
          <w:tcPr/>
          <w:p>
            <w:pPr>
              <w:pStyle w:val="Compact"/>
              <w:jc w:val="left"/>
            </w:pPr>
            <w:r>
              <w:t xml:space="preserve">Publisher</w:t>
            </w:r>
          </w:p>
        </w:tc>
        <w:tc>
          <w:tcPr/>
          <w:p>
            <w:pPr>
              <w:pStyle w:val="Compact"/>
              <w:jc w:val="left"/>
            </w:pPr>
            <w:r>
              <w:t xml:space="preserve">Aeron/SBE fan-out to RMS, OMS, matching engine, market data</w:t>
            </w:r>
          </w:p>
        </w:tc>
      </w:tr>
      <w:tr>
        <w:tc>
          <w:tcPr/>
          <w:p>
            <w:pPr>
              <w:pStyle w:val="Compact"/>
              <w:jc w:val="left"/>
            </w:pPr>
            <w:r>
              <w:t xml:space="preserve">9</w:t>
            </w:r>
          </w:p>
        </w:tc>
        <w:tc>
          <w:tcPr/>
          <w:p>
            <w:pPr>
              <w:pStyle w:val="Compact"/>
              <w:jc w:val="left"/>
            </w:pPr>
            <w:r>
              <w:t xml:space="preserve">Downstream fencing (in RMS/OMS/ME)</w:t>
            </w:r>
          </w:p>
        </w:tc>
        <w:tc>
          <w:tcPr/>
          <w:p>
            <w:pPr>
              <w:pStyle w:val="Compact"/>
              <w:jc w:val="left"/>
            </w:pPr>
            <w:r>
              <w:t xml:space="preserve">Term-based rejection of stale data (§3.5)</w:t>
            </w:r>
          </w:p>
        </w:tc>
      </w:tr>
      <w:tr>
        <w:tc>
          <w:tcPr/>
          <w:p>
            <w:pPr>
              <w:pStyle w:val="Compact"/>
              <w:jc w:val="left"/>
            </w:pPr>
            <w:r>
              <w:t xml:space="preserve">10</w:t>
            </w:r>
          </w:p>
        </w:tc>
        <w:tc>
          <w:tcPr/>
          <w:p>
            <w:pPr>
              <w:pStyle w:val="Compact"/>
              <w:jc w:val="left"/>
            </w:pPr>
            <w:r>
              <w:t xml:space="preserve">Replay service</w:t>
            </w:r>
          </w:p>
        </w:tc>
        <w:tc>
          <w:tcPr/>
          <w:p>
            <w:pPr>
              <w:pStyle w:val="Compact"/>
              <w:jc w:val="left"/>
            </w:pPr>
            <w:r>
              <w:t xml:space="preserve">Point-to-point, served by any node (§3.6)</w:t>
            </w:r>
          </w:p>
        </w:tc>
      </w:tr>
      <w:tr>
        <w:tc>
          <w:tcPr/>
          <w:p>
            <w:pPr>
              <w:pStyle w:val="Compact"/>
              <w:jc w:val="left"/>
            </w:pPr>
            <w:r>
              <w:t xml:space="preserve">11</w:t>
            </w:r>
          </w:p>
        </w:tc>
        <w:tc>
          <w:tcPr/>
          <w:p>
            <w:pPr>
              <w:pStyle w:val="Compact"/>
              <w:jc w:val="left"/>
            </w:pPr>
            <w:r>
              <w:t xml:space="preserve">Standby node(s)</w:t>
            </w:r>
          </w:p>
        </w:tc>
        <w:tc>
          <w:tcPr/>
          <w:p>
            <w:pPr>
              <w:pStyle w:val="Compact"/>
              <w:jc w:val="left"/>
            </w:pPr>
            <w:r>
              <w:t xml:space="preserve">Warm</w:t>
            </w:r>
            <w:r>
              <w:t xml:space="preserve"> </w:t>
            </w:r>
            <w:r>
              <w:rPr>
                <w:rStyle w:val="VerbatimChar"/>
              </w:rPr>
              <w:t xml:space="preserve">openraft</w:t>
            </w:r>
            <w:r>
              <w:t xml:space="preserve"> </w:t>
            </w:r>
            <w:r>
              <w:t xml:space="preserve">followers</w:t>
            </w:r>
          </w:p>
        </w:tc>
      </w:tr>
      <w:tr>
        <w:tc>
          <w:tcPr/>
          <w:p>
            <w:pPr>
              <w:pStyle w:val="Compact"/>
              <w:jc w:val="left"/>
            </w:pPr>
            <w:r>
              <w:t xml:space="preserve">12</w:t>
            </w:r>
          </w:p>
        </w:tc>
        <w:tc>
          <w:tcPr/>
          <w:p>
            <w:pPr>
              <w:pStyle w:val="Compact"/>
              <w:jc w:val="left"/>
            </w:pPr>
            <w:r>
              <w:t xml:space="preserve">Config/identity service</w:t>
            </w:r>
          </w:p>
        </w:tc>
        <w:tc>
          <w:tcPr/>
          <w:p>
            <w:pPr>
              <w:pStyle w:val="Compact"/>
              <w:jc w:val="left"/>
            </w:pPr>
            <w:r>
              <w:t xml:space="preserve">Cluster membership, current leader pointer</w:t>
            </w:r>
          </w:p>
        </w:tc>
      </w:tr>
      <w:tr>
        <w:tc>
          <w:tcPr/>
          <w:p>
            <w:pPr>
              <w:pStyle w:val="Compact"/>
              <w:jc w:val="left"/>
            </w:pPr>
            <w:r>
              <w:t xml:space="preserve">13</w:t>
            </w:r>
          </w:p>
        </w:tc>
        <w:tc>
          <w:tcPr/>
          <w:p>
            <w:pPr>
              <w:pStyle w:val="Compact"/>
              <w:jc w:val="left"/>
            </w:pPr>
            <w:r>
              <w:t xml:space="preserve">Observability</w:t>
            </w:r>
          </w:p>
        </w:tc>
        <w:tc>
          <w:tcPr/>
          <w:p>
            <w:pPr>
              <w:pStyle w:val="Compact"/>
              <w:jc w:val="left"/>
            </w:pPr>
            <w:r>
              <w:t xml:space="preserve">Sequence-gap detection, term-change/failover audit logging</w:t>
            </w:r>
          </w:p>
        </w:tc>
      </w:tr>
      <w:tr>
        <w:tc>
          <w:tcPr/>
          <w:p>
            <w:pPr>
              <w:pStyle w:val="Compact"/>
              <w:jc w:val="left"/>
            </w:pPr>
            <w:r>
              <w:t xml:space="preserve">14</w:t>
            </w:r>
          </w:p>
        </w:tc>
        <w:tc>
          <w:tcPr/>
          <w:p>
            <w:pPr>
              <w:pStyle w:val="Compact"/>
              <w:jc w:val="left"/>
            </w:pPr>
            <w:r>
              <w:t xml:space="preserve">DR site</w:t>
            </w:r>
          </w:p>
        </w:tc>
        <w:tc>
          <w:tcPr/>
          <w:p>
            <w:pPr>
              <w:pStyle w:val="Compact"/>
              <w:jc w:val="left"/>
            </w:pPr>
            <w:r>
              <w:t xml:space="preserve">Cross-region, async, unchanged from original HLD</w:t>
            </w:r>
          </w:p>
        </w:tc>
      </w:tr>
    </w:tbl>
    <w:p>
      <w:r>
        <w:pict>
          <v:rect style="width:0;height:1.5pt" o:hralign="center" o:hrstd="t" o:hr="t"/>
        </w:pict>
      </w:r>
    </w:p>
    <w:bookmarkEnd w:id="30"/>
    <w:bookmarkStart w:id="35" w:name="wire-protocol-updated-to-three-producers"/>
    <w:p>
      <w:pPr>
        <w:pStyle w:val="Heading2"/>
      </w:pPr>
      <w:r>
        <w:t xml:space="preserve">5. Wire protocol — updated to three producers</w:t>
      </w:r>
    </w:p>
    <w:bookmarkStart w:id="31" w:name="common-envelope"/>
    <w:p>
      <w:pPr>
        <w:pStyle w:val="Heading3"/>
      </w:pPr>
      <w:r>
        <w:t xml:space="preserve">5.1 Common envelope</w:t>
      </w:r>
    </w:p>
    <w:p>
      <w:pPr>
        <w:pStyle w:val="FirstParagraph"/>
      </w:pPr>
      <w:r>
        <w:t xml:space="preserve">Every message normalizes to the same shape before entering the sequencing stage: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Description</w:t>
            </w:r>
          </w:p>
        </w:tc>
      </w:tr>
      <w:tr>
        <w:tc>
          <w:tcPr/>
          <w:p>
            <w:pPr>
              <w:pStyle w:val="Compact"/>
              <w:jc w:val="left"/>
            </w:pPr>
            <w:r>
              <w:rPr>
                <w:rStyle w:val="VerbatimChar"/>
              </w:rPr>
              <w:t xml:space="preserve">source</w:t>
            </w:r>
          </w:p>
        </w:tc>
        <w:tc>
          <w:tcPr/>
          <w:p>
            <w:pPr>
              <w:pStyle w:val="Compact"/>
              <w:jc w:val="left"/>
            </w:pPr>
            <w:r>
              <w:rPr>
                <w:rStyle w:val="VerbatimChar"/>
              </w:rPr>
              <w:t xml:space="preserve">OrderEntry</w:t>
            </w:r>
            <w:r>
              <w:t xml:space="preserve"> </w:t>
            </w:r>
            <w:r>
              <w:t xml:space="preserve">|</w:t>
            </w:r>
            <w:r>
              <w:t xml:space="preserve"> </w:t>
            </w:r>
            <w:r>
              <w:rPr>
                <w:rStyle w:val="VerbatimChar"/>
              </w:rPr>
              <w:t xml:space="preserve">RMS</w:t>
            </w:r>
            <w:r>
              <w:t xml:space="preserve"> </w:t>
            </w:r>
            <w:r>
              <w:t xml:space="preserve">|</w:t>
            </w:r>
            <w:r>
              <w:t xml:space="preserve"> </w:t>
            </w:r>
            <w:r>
              <w:rPr>
                <w:rStyle w:val="VerbatimChar"/>
              </w:rPr>
              <w:t xml:space="preserve">OMS</w:t>
            </w:r>
          </w:p>
        </w:tc>
      </w:tr>
      <w:tr>
        <w:tc>
          <w:tcPr/>
          <w:p>
            <w:pPr>
              <w:pStyle w:val="Compact"/>
              <w:jc w:val="left"/>
            </w:pPr>
            <w:r>
              <w:rPr>
                <w:rStyle w:val="VerbatimChar"/>
              </w:rPr>
              <w:t xml:space="preserve">msg_type</w:t>
            </w:r>
          </w:p>
        </w:tc>
        <w:tc>
          <w:tcPr/>
          <w:p>
            <w:pPr>
              <w:pStyle w:val="Compact"/>
              <w:jc w:val="left"/>
            </w:pPr>
            <w:r>
              <w:t xml:space="preserve">See §5.2–§5.4</w:t>
            </w:r>
          </w:p>
        </w:tc>
      </w:tr>
      <w:tr>
        <w:tc>
          <w:tcPr/>
          <w:p>
            <w:pPr>
              <w:pStyle w:val="Compact"/>
              <w:jc w:val="left"/>
            </w:pPr>
            <w:r>
              <w:rPr>
                <w:rStyle w:val="VerbatimChar"/>
              </w:rPr>
              <w:t xml:space="preserve">parent_ref_id</w:t>
            </w:r>
          </w:p>
        </w:tc>
        <w:tc>
          <w:tcPr/>
          <w:p>
            <w:pPr>
              <w:pStyle w:val="Compact"/>
              <w:jc w:val="left"/>
            </w:pPr>
            <w:r>
              <w:rPr>
                <w:bCs/>
                <w:b/>
              </w:rPr>
              <w:t xml:space="preserve">New.</w:t>
            </w:r>
            <w:r>
              <w:t xml:space="preserve"> </w:t>
            </w:r>
            <w:r>
              <w:t xml:space="preserve">Optional; set when this event derives from an earlier one. Mandatory for all OMS-originated messages — without it, there’s no way to explain why an order appeared with no matching client message, which breaks audit/replay explainability</w:t>
            </w:r>
          </w:p>
        </w:tc>
      </w:tr>
      <w:tr>
        <w:tc>
          <w:tcPr/>
          <w:p>
            <w:pPr>
              <w:pStyle w:val="Compact"/>
              <w:jc w:val="left"/>
            </w:pPr>
            <w:r>
              <w:rPr>
                <w:rStyle w:val="VerbatimChar"/>
              </w:rPr>
              <w:t xml:space="preserve">account_id</w:t>
            </w:r>
            <w:r>
              <w:t xml:space="preserve">,</w:t>
            </w:r>
            <w:r>
              <w:t xml:space="preserve"> </w:t>
            </w:r>
            <w:r>
              <w:rPr>
                <w:rStyle w:val="VerbatimChar"/>
              </w:rPr>
              <w:t xml:space="preserve">instrument_id</w:t>
            </w:r>
          </w:p>
        </w:tc>
        <w:tc>
          <w:tcPr/>
          <w:p>
            <w:pPr>
              <w:pStyle w:val="Compact"/>
            </w:pPr>
          </w:p>
        </w:tc>
      </w:tr>
      <w:tr>
        <w:tc>
          <w:tcPr/>
          <w:p>
            <w:pPr>
              <w:pStyle w:val="Compact"/>
              <w:jc w:val="left"/>
            </w:pPr>
            <w:r>
              <w:rPr>
                <w:rStyle w:val="VerbatimChar"/>
              </w:rPr>
              <w:t xml:space="preserve">source_timestamp</w:t>
            </w:r>
          </w:p>
        </w:tc>
        <w:tc>
          <w:tcPr/>
          <w:p>
            <w:pPr>
              <w:pStyle w:val="Compact"/>
              <w:jc w:val="left"/>
            </w:pPr>
            <w:r>
              <w:t xml:space="preserve">Producer-side, for reference only — not used for ordering</w:t>
            </w:r>
          </w:p>
        </w:tc>
      </w:tr>
      <w:tr>
        <w:tc>
          <w:tcPr/>
          <w:p>
            <w:pPr>
              <w:pStyle w:val="Compact"/>
              <w:jc w:val="left"/>
            </w:pPr>
            <w:r>
              <w:rPr>
                <w:rStyle w:val="VerbatimChar"/>
              </w:rPr>
              <w:t xml:space="preserve">sequence_number</w:t>
            </w:r>
          </w:p>
        </w:tc>
        <w:tc>
          <w:tcPr/>
          <w:p>
            <w:pPr>
              <w:pStyle w:val="Compact"/>
              <w:jc w:val="left"/>
            </w:pPr>
            <w:r>
              <w:t xml:space="preserve">Stamped by the sequencer on the way</w:t>
            </w:r>
            <w:r>
              <w:t xml:space="preserve"> </w:t>
            </w:r>
            <w:r>
              <w:rPr>
                <w:bCs/>
                <w:b/>
              </w:rPr>
              <w:t xml:space="preserve">out</w:t>
            </w:r>
            <w:r>
              <w:t xml:space="preserve"> </w:t>
            </w:r>
            <w:r>
              <w:t xml:space="preserve">— never sent in by any producer</w:t>
            </w:r>
          </w:p>
        </w:tc>
      </w:tr>
    </w:tbl>
    <w:bookmarkEnd w:id="31"/>
    <w:bookmarkStart w:id="32" w:name="X33442f6ac682e4f5464a6f0475d5887ca5249cb"/>
    <w:p>
      <w:pPr>
        <w:pStyle w:val="Heading3"/>
      </w:pPr>
      <w:r>
        <w:t xml:space="preserve">5.2 Payload model — opaque, producer-owned (revised)</w:t>
      </w:r>
    </w:p>
    <w:p>
      <w:pPr>
        <w:pStyle w:val="FirstParagraph"/>
      </w:pPr>
      <w:r>
        <w:rPr>
          <w:bCs/>
          <w:b/>
        </w:rPr>
        <w:t xml:space="preserve">The sequencer does not define, parse, or validate payload contents for any producer.</w:t>
      </w:r>
      <w:r>
        <w:t xml:space="preserve"> </w:t>
      </w:r>
      <w:r>
        <w:t xml:space="preserve">Order Entry, RMS, and OMS each own and evolve their own internal payload schemas independently — including things like multi-leg/combo order structures, RMS action types (</w:t>
      </w:r>
      <w:r>
        <w:rPr>
          <w:rStyle w:val="VerbatimChar"/>
        </w:rPr>
        <w:t xml:space="preserve">Liquidation</w:t>
      </w:r>
      <w:r>
        <w:t xml:space="preserve">,</w:t>
      </w:r>
      <w:r>
        <w:t xml:space="preserve"> </w:t>
      </w:r>
      <w:r>
        <w:rPr>
          <w:rStyle w:val="VerbatimChar"/>
        </w:rPr>
        <w:t xml:space="preserve">ADL</w:t>
      </w:r>
      <w:r>
        <w:t xml:space="preserve">,</w:t>
      </w:r>
      <w:r>
        <w:t xml:space="preserve"> </w:t>
      </w:r>
      <w:r>
        <w:rPr>
          <w:rStyle w:val="VerbatimChar"/>
        </w:rPr>
        <w:t xml:space="preserve">MassCancel</w:t>
      </w:r>
      <w:r>
        <w:t xml:space="preserve">,</w:t>
      </w:r>
      <w:r>
        <w:t xml:space="preserve"> </w:t>
      </w:r>
      <w:r>
        <w:rPr>
          <w:rStyle w:val="VerbatimChar"/>
        </w:rPr>
        <w:t xml:space="preserve">AccountFreeze</w:t>
      </w:r>
      <w:r>
        <w:t xml:space="preserve">), and OMS-derived event types (</w:t>
      </w:r>
      <w:r>
        <w:rPr>
          <w:rStyle w:val="VerbatimChar"/>
        </w:rPr>
        <w:t xml:space="preserve">TriggerFire</w:t>
      </w:r>
      <w:r>
        <w:t xml:space="preserve">,</w:t>
      </w:r>
      <w:r>
        <w:t xml:space="preserve"> </w:t>
      </w:r>
      <w:r>
        <w:rPr>
          <w:rStyle w:val="VerbatimChar"/>
        </w:rPr>
        <w:t xml:space="preserve">TrailingStopUpdate</w:t>
      </w:r>
      <w:r>
        <w:t xml:space="preserve">,</w:t>
      </w:r>
      <w:r>
        <w:t xml:space="preserve"> </w:t>
      </w:r>
      <w:r>
        <w:rPr>
          <w:rStyle w:val="VerbatimChar"/>
        </w:rPr>
        <w:t xml:space="preserve">IcebergReplenish</w:t>
      </w:r>
      <w:r>
        <w:t xml:space="preserve">,</w:t>
      </w:r>
      <w:r>
        <w:t xml:space="preserve"> </w:t>
      </w:r>
      <w:r>
        <w:rPr>
          <w:rStyle w:val="VerbatimChar"/>
        </w:rPr>
        <w:t xml:space="preserve">OcoCancel</w:t>
      </w:r>
      <w:r>
        <w:t xml:space="preserve">,</w:t>
      </w:r>
      <w:r>
        <w:t xml:space="preserve"> </w:t>
      </w:r>
      <w:r>
        <w:rPr>
          <w:rStyle w:val="VerbatimChar"/>
        </w:rPr>
        <w:t xml:space="preserve">ExpiryCancel</w:t>
      </w:r>
      <w:r>
        <w:t xml:space="preserve">,</w:t>
      </w:r>
      <w:r>
        <w:t xml:space="preserve"> </w:t>
      </w:r>
      <w:r>
        <w:rPr>
          <w:rStyle w:val="VerbatimChar"/>
        </w:rPr>
        <w:t xml:space="preserve">OptionExercise</w:t>
      </w:r>
      <w:r>
        <w:t xml:space="preserve">) — with zero coordination required with the sequencer team when those schemas change.</w:t>
      </w:r>
    </w:p>
    <w:p>
      <w:pPr>
        <w:pStyle w:val="BodyText"/>
      </w:pPr>
      <w:r>
        <w:t xml:space="preserve">What the sequencer requires from every message, regardless of producer:</w:t>
      </w:r>
      <w:r>
        <w:t xml:space="preserve"> </w:t>
      </w:r>
      <w:r>
        <w:t xml:space="preserve">- A valid common envelope (§5.1)</w:t>
      </w:r>
      <w:r>
        <w:t xml:space="preserve"> </w:t>
      </w:r>
      <w:r>
        <w:t xml:space="preserve">- A payload of</w:t>
      </w:r>
      <w:r>
        <w:t xml:space="preserve"> </w:t>
      </w:r>
      <w:r>
        <w:rPr>
          <w:bCs/>
          <w:b/>
        </w:rPr>
        <w:t xml:space="preserve">at most 1024 bytes</w:t>
      </w:r>
      <w:r>
        <w:t xml:space="preserve">, treated as an opaque byte blob</w:t>
      </w:r>
      <w:r>
        <w:t xml:space="preserve"> </w:t>
      </w:r>
      <w:r>
        <w:t xml:space="preserve">-</w:t>
      </w:r>
      <w:r>
        <w:t xml:space="preserve"> </w:t>
      </w:r>
      <w:r>
        <w:rPr>
          <w:bCs/>
          <w:b/>
        </w:rPr>
        <w:t xml:space="preserve">Atomicity is automatic, not a special case</w:t>
      </w:r>
      <w:r>
        <w:t xml:space="preserve">: because the sequencer assigns exactly one sequence number per message and never inspects payload structure, a multi-leg combo naturally gets one sequence number as long as the producer sends it as a single message — no sequencer-side</w:t>
      </w:r>
      <w:r>
        <w:t xml:space="preserve"> </w:t>
      </w:r>
      <w:r>
        <w:t xml:space="preserve">“</w:t>
      </w:r>
      <w:r>
        <w:t xml:space="preserve">legs</w:t>
      </w:r>
      <w:r>
        <w:t xml:space="preserve">”</w:t>
      </w:r>
      <w:r>
        <w:t xml:space="preserve"> </w:t>
      </w:r>
      <w:r>
        <w:t xml:space="preserve">handling needed.</w:t>
      </w:r>
    </w:p>
    <w:p>
      <w:pPr>
        <w:pStyle w:val="BodyText"/>
      </w:pPr>
      <w:r>
        <w:t xml:space="preserve">Downstream consumers (RMS, OMS, matching engine, market data) are responsible for decoding the payload according to whatever schema its</w:t>
      </w:r>
      <w:r>
        <w:t xml:space="preserve"> </w:t>
      </w:r>
      <w:r>
        <w:rPr>
          <w:rStyle w:val="VerbatimChar"/>
        </w:rPr>
        <w:t xml:space="preserve">source</w:t>
      </w:r>
      <w:r>
        <w:t xml:space="preserve"> </w:t>
      </w:r>
      <w:r>
        <w:t xml:space="preserve">producer defines — that decoding contract is between the producer and consumer teams directly, documented in each producer’s own payload reference (e.g. the</w:t>
      </w:r>
      <w:r>
        <w:t xml:space="preserve"> </w:t>
      </w:r>
      <w:r>
        <w:rPr>
          <w:rStyle w:val="VerbatimChar"/>
        </w:rPr>
        <w:t xml:space="preserve">sequencer-hot-path-payloads</w:t>
      </w:r>
      <w:r>
        <w:t xml:space="preserve"> </w:t>
      </w:r>
      <w:r>
        <w:t xml:space="preserve">doc), not in the sequencer’s interface contract.</w:t>
      </w:r>
    </w:p>
    <w:bookmarkEnd w:id="32"/>
    <w:bookmarkStart w:id="33" w:name="priority-lanes-confirmed"/>
    <w:p>
      <w:pPr>
        <w:pStyle w:val="Heading3"/>
      </w:pPr>
      <w:r>
        <w:t xml:space="preserve">5.3 Priority lanes (confirmed)</w:t>
      </w:r>
    </w:p>
    <w:p>
      <w:pPr>
        <w:pStyle w:val="FirstParagraph"/>
      </w:pPr>
      <w:r>
        <w:t xml:space="preserve">Three tiers, strict priority with independent bounded drain caps per lane to prevent any one tier from starving the others below it:</w:t>
      </w:r>
    </w:p>
    <w:p>
      <w:pPr>
        <w:pStyle w:val="BodyText"/>
      </w:pPr>
      <w:r>
        <w:rPr>
          <w:bCs/>
          <w:b/>
        </w:rPr>
        <w:t xml:space="preserve">RMS (control) &gt; OMS (derived) &gt; Order Entry (standard)</w:t>
      </w:r>
    </w:p>
    <w:p>
      <w:pPr>
        <w:pStyle w:val="BodyText"/>
      </w:pPr>
      <w:r>
        <w:t xml:space="preserve">This is the only place the three producers are differentiated at all by the sequencer — purely by which lane/stream they publish on, never by payload content.</w:t>
      </w:r>
    </w:p>
    <w:bookmarkEnd w:id="33"/>
    <w:bookmarkStart w:id="34" w:name="X8ecb5f052a908cee22d127c147cc09a7cf80a15"/>
    <w:p>
      <w:pPr>
        <w:pStyle w:val="Heading3"/>
      </w:pPr>
      <w:r>
        <w:t xml:space="preserve">5.5 What this changes in the priority merge (§ core pipeline)</w:t>
      </w:r>
    </w:p>
    <w:p>
      <w:pPr>
        <w:pStyle w:val="FirstParagraph"/>
      </w:pPr>
      <w:r>
        <w:t xml:space="preserve">The priority merge (previously two-lane: RMS vs standard) becomes</w:t>
      </w:r>
      <w:r>
        <w:t xml:space="preserve"> </w:t>
      </w:r>
      <w:r>
        <w:rPr>
          <w:bCs/>
          <w:b/>
        </w:rPr>
        <w:t xml:space="preserve">three-lane</w:t>
      </w:r>
      <w:r>
        <w:t xml:space="preserve">: RMS → OMS → Standard, each independently bounded to prevent any one lane from starving the others, extending the same bounded-strict-priority algorithm already designed, just with a third tier inserted in the middle.</w:t>
      </w:r>
    </w:p>
    <w:p>
      <w:r>
        <w:pict>
          <v:rect style="width:0;height:1.5pt" o:hralign="center" o:hrstd="t" o:hr="t"/>
        </w:pict>
      </w:r>
    </w:p>
    <w:bookmarkEnd w:id="34"/>
    <w:bookmarkEnd w:id="35"/>
    <w:bookmarkStart w:id="36" w:name="Xe6af5112995d322abe41e75b1a037e6a991a8e0"/>
    <w:p>
      <w:pPr>
        <w:pStyle w:val="Heading2"/>
      </w:pPr>
      <w:r>
        <w:t xml:space="preserve">6. Performance — unchanged assumptions, one addition</w:t>
      </w:r>
    </w:p>
    <w:p>
      <w:pPr>
        <w:pStyle w:val="FirstParagraph"/>
      </w:pPr>
      <w:r>
        <w:t xml:space="preserve">The latency/throughput estimates from the performance doc (~1–2 µs optimistic same-host, ~500K–2M orders/sec sustained) still hold as pre-benchmark estimates. One addition: the degraded-case pause (§3.3–3.4) has its own latency budget — how long a node waits for peer/witness corroboration before giving up and staying passive should be a bounded, configurable timeout (not unbounded retry), so a witness outage doesn’t leave a node stuck indefinitely between</w:t>
      </w:r>
      <w:r>
        <w:t xml:space="preserve"> </w:t>
      </w:r>
      <w:r>
        <w:t xml:space="preserve">“</w:t>
      </w:r>
      <w:r>
        <w:t xml:space="preserve">trying to confirm</w:t>
      </w:r>
      <w:r>
        <w:t xml:space="preserve">”</w:t>
      </w:r>
      <w:r>
        <w:t xml:space="preserve"> </w:t>
      </w:r>
      <w:r>
        <w:t xml:space="preserve">and</w:t>
      </w:r>
      <w:r>
        <w:t xml:space="preserve"> </w:t>
      </w:r>
      <w:r>
        <w:t xml:space="preserve">“</w:t>
      </w:r>
      <w:r>
        <w:t xml:space="preserve">giving up cleanly.</w:t>
      </w:r>
      <w:r>
        <w:t xml:space="preserve">”</w:t>
      </w:r>
      <w:r>
        <w:t xml:space="preserve"> </w:t>
      </w:r>
      <w:r>
        <w:t xml:space="preserve">This should be one of the parameters validated in the load/failover benchmarking task.</w:t>
      </w:r>
    </w:p>
    <w:p>
      <w:r>
        <w:pict>
          <v:rect style="width:0;height:1.5pt" o:hralign="center" o:hrstd="t" o:hr="t"/>
        </w:pict>
      </w:r>
    </w:p>
    <w:bookmarkEnd w:id="36"/>
    <w:bookmarkStart w:id="37" w:name="Xf2f3ee66e07465622483f62b1a2a7f93ccbf91b"/>
    <w:p>
      <w:pPr>
        <w:pStyle w:val="Heading2"/>
      </w:pPr>
      <w:r>
        <w:t xml:space="preserve">7. Confirmed decisions (previously open items)</w:t>
      </w:r>
    </w:p>
    <w:p>
      <w:pPr>
        <w:numPr>
          <w:ilvl w:val="0"/>
          <w:numId w:val="1004"/>
        </w:numPr>
        <w:pStyle w:val="Compact"/>
      </w:pPr>
      <w:r>
        <w:rPr>
          <w:bCs/>
          <w:b/>
        </w:rPr>
        <w:t xml:space="preserve">OMS lane priority: RMS &gt; OMS &gt; Standard</w:t>
      </w:r>
      <w:r>
        <w:t xml:space="preserve">, confirmed. Three-tier bounded strict priority in the merge stage.</w:t>
      </w:r>
    </w:p>
    <w:p>
      <w:pPr>
        <w:numPr>
          <w:ilvl w:val="0"/>
          <w:numId w:val="1004"/>
        </w:numPr>
        <w:pStyle w:val="Compact"/>
      </w:pPr>
      <w:r>
        <w:rPr>
          <w:bCs/>
          <w:b/>
        </w:rPr>
        <w:t xml:space="preserve">Payload model: opaque.</w:t>
      </w:r>
      <w:r>
        <w:t xml:space="preserve"> </w:t>
      </w:r>
      <w:r>
        <w:t xml:space="preserve">The sequencer does not parse, validate, or understand payload contents — it only stamps the common envelope with a sequence number and passes the payload through untouched. This means multi-leg orders, RMS action types, and OMS event types are entirely owned and evolved by their producing teams (Order Entry, RMS, OMS) with no sequencer-side schema dependency. See §5.2 (revised) for what this changes in the wire format.</w:t>
      </w:r>
    </w:p>
    <w:p>
      <w:pPr>
        <w:numPr>
          <w:ilvl w:val="0"/>
          <w:numId w:val="1004"/>
        </w:numPr>
        <w:pStyle w:val="Compact"/>
      </w:pPr>
      <w:r>
        <w:rPr>
          <w:bCs/>
          <w:b/>
        </w:rPr>
        <w:t xml:space="preserve">Max payload size: 1024 bytes (1 KB).</w:t>
      </w:r>
      <w:r>
        <w:t xml:space="preserve"> </w:t>
      </w:r>
      <w:r>
        <w:t xml:space="preserve">Chosen for headroom over known cases (~2-3x the largest described payload) and because a power-of-two size aligns cleanly with cache lines and fixed-size ring buffer slots at the throughput this system targets. Oversized payloads are cleanly rejected, not truncated. Revisable later — since the sequencer never interprets payload structure, raising this is a config/struct-resize change, not a logic change.</w:t>
      </w:r>
    </w:p>
    <w:p>
      <w:pPr>
        <w:numPr>
          <w:ilvl w:val="0"/>
          <w:numId w:val="1004"/>
        </w:numPr>
        <w:pStyle w:val="Compact"/>
      </w:pPr>
      <w:r>
        <w:rPr>
          <w:bCs/>
          <w:b/>
        </w:rPr>
        <w:t xml:space="preserve">Cluster size: 3 sequencer nodes (quorum = 2), 1 witness.</w:t>
      </w:r>
      <w:r>
        <w:t xml:space="preserve"> </w:t>
      </w:r>
      <w:r>
        <w:t xml:space="preserve">Starting configuration. Tradeoff accepted explicitly: with a single witness, if it’s unreachable at the same moment a node is isolated, that node stays passive (safe, just less available) until the witness or quorum returns. Cheap to add a second witness later if this proves limiting in practice.</w:t>
      </w:r>
    </w:p>
    <w:p>
      <w:pPr>
        <w:numPr>
          <w:ilvl w:val="0"/>
          <w:numId w:val="1004"/>
        </w:numPr>
        <w:pStyle w:val="Compact"/>
      </w:pPr>
      <w:r>
        <w:rPr>
          <w:bCs/>
          <w:b/>
        </w:rPr>
        <w:t xml:space="preserve">Corroboration timeout: 1–2 seconds.</w:t>
      </w:r>
      <w:r>
        <w:t xml:space="preserve"> </w:t>
      </w:r>
      <w:r>
        <w:t xml:space="preserve">How long an isolated node attempts peer retry + witness confirmation before settling into</w:t>
      </w:r>
      <w:r>
        <w:t xml:space="preserve"> </w:t>
      </w:r>
      <w:r>
        <w:t xml:space="preserve">“</w:t>
      </w:r>
      <w:r>
        <w:t xml:space="preserve">stay passive, retry later.</w:t>
      </w:r>
      <w:r>
        <w:t xml:space="preserve">”</w:t>
      </w:r>
      <w:r>
        <w:t xml:space="preserve"> </w:t>
      </w:r>
      <w:r>
        <w:t xml:space="preserve">Long enough to avoid false negatives from transient jitter, short enough to keep the queue-without-sequencing window operationally bounded.</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2026-08-27T20:33:29Z</dcterms:created>
  <dcterms:modified xsi:type="dcterms:W3CDTF">2026-08-27T20:33:29Z</dcterms:modified>
</cp:coreProperties>
</file>

<file path=docProps/custom.xml><?xml version="1.0" encoding="utf-8"?>
<Properties xmlns="http://schemas.openxmlformats.org/officeDocument/2006/custom-properties" xmlns:vt="http://schemas.openxmlformats.org/officeDocument/2006/docPropsVTypes"/>
</file>