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1EEE7">
      <w:pPr>
        <w:pStyle w:val="9"/>
        <w:numPr>
          <w:ilvl w:val="0"/>
          <w:numId w:val="0"/>
        </w:numPr>
        <w:spacing w:after="80" w:line="360" w:lineRule="auto"/>
        <w:ind w:leftChars="0"/>
        <w:contextualSpacing/>
        <w:jc w:val="center"/>
        <w:rPr>
          <w:rFonts w:hint="eastAsia" w:ascii="黑体" w:hAnsi="黑体" w:eastAsia="黑体" w:cstheme="majorBidi"/>
          <w:spacing w:val="-10"/>
          <w:kern w:val="28"/>
          <w:sz w:val="30"/>
          <w:szCs w:val="30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theme="majorBidi"/>
          <w:spacing w:val="-10"/>
          <w:kern w:val="28"/>
          <w:sz w:val="30"/>
          <w:szCs w:val="30"/>
          <w:lang w:val="en-US" w:eastAsia="zh-CN" w:bidi="ar-SA"/>
          <w14:ligatures w14:val="standardContextual"/>
        </w:rPr>
        <w:t>作品概要</w:t>
      </w:r>
      <w:bookmarkStart w:id="0" w:name="_GoBack"/>
      <w:bookmarkEnd w:id="0"/>
    </w:p>
    <w:p w14:paraId="11115174">
      <w:pPr>
        <w:pStyle w:val="4"/>
        <w:spacing w:after="200" w:line="360" w:lineRule="auto"/>
        <w:jc w:val="left"/>
        <w:rPr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一、基本信息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7"/>
        <w:gridCol w:w="5769"/>
      </w:tblGrid>
      <w:tr w14:paraId="366E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vAlign w:val="center"/>
          </w:tcPr>
          <w:p w14:paraId="4B52A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vAlign w:val="center"/>
          </w:tcPr>
          <w:p w14:paraId="7AE8E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</w:tr>
      <w:tr w14:paraId="5624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A09E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命题编号</w:t>
            </w:r>
          </w:p>
        </w:tc>
        <w:tc>
          <w:tcPr>
            <w:vAlign w:val="center"/>
          </w:tcPr>
          <w:p w14:paraId="45991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A13</w:t>
            </w:r>
          </w:p>
        </w:tc>
      </w:tr>
      <w:tr w14:paraId="26B0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1F881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命题方向</w:t>
            </w:r>
          </w:p>
        </w:tc>
        <w:tc>
          <w:tcPr>
            <w:vAlign w:val="center"/>
          </w:tcPr>
          <w:p w14:paraId="5B792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智能计算</w:t>
            </w:r>
          </w:p>
        </w:tc>
      </w:tr>
      <w:tr w14:paraId="0D06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0F9B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题目类别</w:t>
            </w:r>
          </w:p>
        </w:tc>
        <w:tc>
          <w:tcPr>
            <w:vAlign w:val="center"/>
          </w:tcPr>
          <w:p w14:paraId="5EDCC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应用类</w:t>
            </w:r>
          </w:p>
        </w:tc>
      </w:tr>
      <w:tr w14:paraId="67B7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0460F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题目名称</w:t>
            </w:r>
          </w:p>
        </w:tc>
        <w:tc>
          <w:tcPr>
            <w:vAlign w:val="center"/>
          </w:tcPr>
          <w:p w14:paraId="35603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基于AI的大学生职业规划智能体</w:t>
            </w:r>
          </w:p>
        </w:tc>
      </w:tr>
      <w:tr w14:paraId="5059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0BF71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作品名称</w:t>
            </w:r>
          </w:p>
        </w:tc>
        <w:tc>
          <w:tcPr>
            <w:vAlign w:val="center"/>
          </w:tcPr>
          <w:p w14:paraId="457E9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CareerAgent（工程仓库名：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1"/>
                <w:szCs w:val="21"/>
                <w:shd w:val="clear" w:color="auto"/>
              </w:rPr>
              <w:t>career-agent</w:t>
            </w:r>
            <w:r>
              <w:rPr>
                <w:b w:val="0"/>
                <w:bCs w:val="0"/>
                <w:sz w:val="21"/>
                <w:szCs w:val="21"/>
              </w:rPr>
              <w:t>，工作区目录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1"/>
                <w:szCs w:val="21"/>
                <w:shd w:val="clear" w:color="auto"/>
              </w:rPr>
              <w:t>vision-meet</w:t>
            </w:r>
            <w:r>
              <w:rPr>
                <w:b w:val="0"/>
                <w:bCs w:val="0"/>
                <w:sz w:val="21"/>
                <w:szCs w:val="21"/>
              </w:rPr>
              <w:t>）</w:t>
            </w:r>
          </w:p>
        </w:tc>
      </w:tr>
      <w:tr w14:paraId="6B4B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6370E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命题企业</w:t>
            </w:r>
          </w:p>
        </w:tc>
        <w:tc>
          <w:tcPr>
            <w:vAlign w:val="center"/>
          </w:tcPr>
          <w:p w14:paraId="2A406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明杉科技</w:t>
            </w:r>
          </w:p>
        </w:tc>
      </w:tr>
      <w:tr w14:paraId="6990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29634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学校</w:t>
            </w:r>
          </w:p>
        </w:tc>
        <w:tc>
          <w:tcPr>
            <w:vAlign w:val="center"/>
          </w:tcPr>
          <w:p w14:paraId="75269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苏州城市学院</w:t>
            </w:r>
          </w:p>
        </w:tc>
      </w:tr>
      <w:tr w14:paraId="59B7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F181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团队名称</w:t>
            </w:r>
          </w:p>
        </w:tc>
        <w:tc>
          <w:tcPr>
            <w:vAlign w:val="center"/>
          </w:tcPr>
          <w:p w14:paraId="33F28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【请填写团队名称】</w:t>
            </w:r>
          </w:p>
        </w:tc>
      </w:tr>
      <w:tr w14:paraId="1F6B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638D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指导教师</w:t>
            </w:r>
          </w:p>
        </w:tc>
        <w:tc>
          <w:tcPr>
            <w:vAlign w:val="center"/>
          </w:tcPr>
          <w:p w14:paraId="462B7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郑伊轮、纪其进</w:t>
            </w:r>
          </w:p>
        </w:tc>
      </w:tr>
      <w:tr w14:paraId="065A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28AC8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联系人/手机/邮箱</w:t>
            </w:r>
          </w:p>
        </w:tc>
        <w:tc>
          <w:tcPr>
            <w:vAlign w:val="center"/>
          </w:tcPr>
          <w:p w14:paraId="67609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吴友桃//</w:t>
            </w:r>
          </w:p>
        </w:tc>
      </w:tr>
    </w:tbl>
    <w:p w14:paraId="7EC87458">
      <w:pPr>
        <w:spacing w:before="240"/>
        <w:rPr>
          <w:b w:val="0"/>
          <w:bCs w:val="0"/>
          <w:sz w:val="21"/>
          <w:szCs w:val="21"/>
        </w:rPr>
      </w:pPr>
    </w:p>
    <w:p w14:paraId="01ECE319">
      <w:pPr>
        <w:pStyle w:val="4"/>
        <w:spacing w:after="200"/>
        <w:jc w:val="left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二、一句话定位</w:t>
      </w:r>
    </w:p>
    <w:p w14:paraId="0BED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本产品是一套面向高校学生的「岗位理解→能力画像→人岗匹配→职业路径→生涯报告→导出归档」全链路Web应用：以企业提供的计算机类岗位大数据为基础，结合大语言模型与智能体编排（PiCodingAgent）、向量检索（PostgreSQL+pgvector）与岗位路径图谱（Neo4j），帮助学生把碎片化自我认知与岗位要求对齐，输出可解释、可编辑、可导出的职业生涯发展材料。</w:t>
      </w:r>
    </w:p>
    <w:p w14:paraId="13468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</w:p>
    <w:p w14:paraId="53B81F5A">
      <w:pPr>
        <w:spacing w:after="200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三、行业背景与痛点</w:t>
      </w:r>
    </w:p>
    <w:p w14:paraId="00CC52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在数字经济与产业升级背景下，就业市场呈现「新兴领域缺人」与「部分专业就业难」并存的结构性矛盾。大学生职业规划困难，往往源于：</w:t>
      </w:r>
    </w:p>
    <w:p w14:paraId="4D38A1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</w:t>
      </w:r>
      <w:r>
        <w:rPr>
          <w:b/>
          <w:bCs/>
          <w:sz w:val="21"/>
          <w:szCs w:val="21"/>
        </w:rPr>
        <w:t>自我认知模糊</w:t>
      </w:r>
      <w:r>
        <w:rPr>
          <w:b w:val="0"/>
          <w:bCs w:val="0"/>
          <w:sz w:val="21"/>
          <w:szCs w:val="21"/>
        </w:rPr>
        <w:t>：兴趣、能力、性格与岗位匹配关系不清，易跟风考研、考公或「进大厂」，规划缺少个性化与可行性。</w:t>
      </w:r>
    </w:p>
    <w:p w14:paraId="6531F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</w:t>
      </w:r>
      <w:r>
        <w:rPr>
          <w:b/>
          <w:bCs/>
          <w:sz w:val="21"/>
          <w:szCs w:val="21"/>
        </w:rPr>
        <w:t>职业信息不对称</w:t>
      </w:r>
      <w:r>
        <w:rPr>
          <w:b w:val="0"/>
          <w:bCs w:val="0"/>
          <w:sz w:val="21"/>
          <w:szCs w:val="21"/>
        </w:rPr>
        <w:t>：行业与岗位信息来源碎片化，对AI、新能源等新兴岗位的真实技能与风险认知不足。</w:t>
      </w:r>
    </w:p>
    <w:p w14:paraId="6BDA0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</w:t>
      </w:r>
      <w:r>
        <w:rPr>
          <w:b/>
          <w:bCs/>
          <w:sz w:val="21"/>
          <w:szCs w:val="21"/>
        </w:rPr>
        <w:t>外部支持薄弱</w:t>
      </w:r>
      <w:r>
        <w:rPr>
          <w:b w:val="0"/>
          <w:bCs w:val="0"/>
          <w:sz w:val="21"/>
          <w:szCs w:val="21"/>
        </w:rPr>
        <w:t>：高校生涯课偏理论与技巧，一线产业洞察不足；家庭引导两极化。</w:t>
      </w:r>
    </w:p>
    <w:p w14:paraId="60B90F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b/>
          <w:bCs/>
          <w:sz w:val="21"/>
          <w:szCs w:val="21"/>
        </w:rPr>
        <w:t>规划难落地</w:t>
      </w:r>
      <w:r>
        <w:rPr>
          <w:b w:val="0"/>
          <w:bCs w:val="0"/>
          <w:sz w:val="21"/>
          <w:szCs w:val="21"/>
        </w:rPr>
        <w:t>：缺少实习与项目验证，面对行业快速变化缺少动态调整方法与评估指标。</w:t>
      </w:r>
    </w:p>
    <w:p w14:paraId="30A84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本产品价值：在同一平台内完成岗位要求结构化拆解、个人能力结构化画像、多维度量化匹配与差距解释、结合图谱的发展路径展示以及分阶段行动计划与报告导出，降低「从信息到行动」的摩擦成本。</w:t>
      </w:r>
    </w:p>
    <w:p w14:paraId="2EFF7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D423D7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四、用户期望与产品回应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16"/>
        <w:gridCol w:w="5650"/>
      </w:tblGrid>
      <w:tr w14:paraId="194D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C81DF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赛题用户期望</w:t>
            </w:r>
          </w:p>
        </w:tc>
        <w:tc>
          <w:tcPr>
            <w:vAlign w:val="center"/>
          </w:tcPr>
          <w:p w14:paraId="23A97F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本产品摘要</w:t>
            </w:r>
          </w:p>
        </w:tc>
      </w:tr>
      <w:tr w14:paraId="53A7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2373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快速了解就业市场对应届岗位的能力要求，并拆解具体能力要求</w:t>
            </w:r>
          </w:p>
        </w:tc>
        <w:tc>
          <w:tcPr>
            <w:vAlign w:val="center"/>
          </w:tcPr>
          <w:p w14:paraId="348801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 xml:space="preserve">岗位导入与检索；规范岗位画像（canonical roles）由 </w:t>
            </w:r>
            <w:r>
              <w:rPr>
                <w:rFonts w:hint="eastAsia" w:ascii="Courier New" w:hAnsi="Courier New" w:eastAsia="Courier New" w:cs="Courier New"/>
                <w:b w:val="0"/>
                <w:bCs w:val="0"/>
                <w:sz w:val="21"/>
                <w:szCs w:val="21"/>
                <w:shd w:val="clear" w:color="auto"/>
              </w:rPr>
              <w:t>jobs-intelligence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域聚合展示（</w:t>
            </w:r>
            <w:r>
              <w:rPr>
                <w:rFonts w:hint="eastAsia" w:ascii="Courier New" w:hAnsi="Courier New" w:eastAsia="Courier New" w:cs="Courier New"/>
                <w:b w:val="0"/>
                <w:bCs w:val="0"/>
                <w:sz w:val="21"/>
                <w:szCs w:val="21"/>
                <w:shd w:val="clear" w:color="auto"/>
              </w:rPr>
              <w:t>GET /api/v2/job-profiles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等；可结合数据流水线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与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知识库检索增强理解</w:t>
            </w:r>
          </w:p>
        </w:tc>
      </w:tr>
      <w:tr w14:paraId="5EF8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87C2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清晰、准确分析学生就业能力与就业意愿</w:t>
            </w:r>
          </w:p>
        </w:tc>
        <w:tc>
          <w:tcPr>
            <w:vAlign w:val="center"/>
          </w:tcPr>
          <w:p w14:paraId="088693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表单录入+简历上传双入口；输出结构化学生就业能力画像、完整度与竞争力评分及维度得分</w:t>
            </w:r>
          </w:p>
        </w:tc>
      </w:tr>
      <w:tr w14:paraId="113E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79F0B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给出可操作的生涯发展报告（方案+行动计划），扬长避短、精准匹配</w:t>
            </w:r>
          </w:p>
        </w:tc>
        <w:tc>
          <w:tcPr>
            <w:vAlign w:val="center"/>
          </w:tcPr>
          <w:p w14:paraId="2A43C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四维人岗匹配（基础要求、职业技能、职业素养、发展潜力）+差距与建议；七章节职业报告（含路径与短中期计划）；支持结构化编辑与PDF一键导出</w:t>
            </w:r>
          </w:p>
        </w:tc>
      </w:tr>
    </w:tbl>
    <w:p w14:paraId="564BCD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A2245D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五、核心能力清单</w:t>
      </w:r>
    </w:p>
    <w:p w14:paraId="57ED76D5">
      <w:pPr>
        <w:numPr>
          <w:ilvl w:val="0"/>
          <w:numId w:val="0"/>
        </w:numPr>
        <w:spacing w:line="360" w:lineRule="auto"/>
        <w:jc w:val="both"/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5.1就业岗位要求画像</w:t>
      </w:r>
    </w:p>
    <w:p w14:paraId="73E31785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>构建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不少</w:t>
      </w:r>
      <w:r>
        <w:rPr>
          <w:rFonts w:hint="eastAsia"/>
          <w:b w:val="0"/>
          <w:bCs w:val="0"/>
          <w:sz w:val="21"/>
          <w:szCs w:val="21"/>
        </w:rPr>
        <w:t>于 10 个目标岗位的结构化画像（规范角色层可覆盖大量原始导入岗位）。</w:t>
      </w:r>
    </w:p>
    <w:p w14:paraId="13F6A30C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 xml:space="preserve">画像维度覆盖赛题要求方向，包括但不限于：专业技能、证书要求、创新能力、学习能力、抗压能力、沟通能力、实习/项目能力 等（以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 /api/v2/canonical-roles</w:t>
      </w:r>
      <w:r>
        <w:rPr>
          <w:rFonts w:hint="eastAsia" w:ascii="Courier New" w:hAnsi="Courier New" w:eastAsia="宋体" w:cs="Courier New"/>
          <w:b w:val="0"/>
          <w:bCs w:val="0"/>
          <w:sz w:val="21"/>
          <w:szCs w:val="21"/>
          <w:shd w:val="clear" w:color="auto"/>
          <w:lang w:val="en-US" w:eastAsia="zh-CN"/>
        </w:rPr>
        <w:t>*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、GET /api/v2/job-profiles</w:t>
      </w:r>
      <w:r>
        <w:rPr>
          <w:rFonts w:hint="eastAsia"/>
          <w:b w:val="0"/>
          <w:bCs w:val="0"/>
          <w:sz w:val="21"/>
          <w:szCs w:val="21"/>
        </w:rPr>
        <w:t xml:space="preserve"> 等契约为准）。</w:t>
      </w:r>
    </w:p>
    <w:p w14:paraId="2464D2C2">
      <w:pPr>
        <w:pStyle w:val="14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</w:rPr>
        <w:t xml:space="preserve"> 数据侧：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 xml:space="preserve">POST /api/v1/jobs/import </w:t>
      </w:r>
      <w:r>
        <w:rPr>
          <w:rFonts w:hint="eastAsia"/>
          <w:b w:val="0"/>
          <w:bCs w:val="0"/>
          <w:sz w:val="21"/>
          <w:szCs w:val="21"/>
        </w:rPr>
        <w:t xml:space="preserve">+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可选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 /api/v2/jobs/pipeline/run</w:t>
      </w:r>
      <w:r>
        <w:rPr>
          <w:rFonts w:hint="eastAsia"/>
          <w:b w:val="0"/>
          <w:bCs w:val="0"/>
          <w:sz w:val="21"/>
          <w:szCs w:val="21"/>
        </w:rPr>
        <w:t>（归一化、事实抽取与图谱构建）；前端「岗位画像」页浏览列表。</w:t>
      </w:r>
    </w:p>
    <w:p w14:paraId="14511C7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0C949C7">
      <w:pPr>
        <w:numPr>
          <w:ilvl w:val="0"/>
          <w:numId w:val="0"/>
        </w:numPr>
        <w:spacing w:line="360" w:lineRule="auto"/>
        <w:jc w:val="both"/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5.2岗位关联图谱与路径</w:t>
      </w:r>
    </w:p>
    <w:p w14:paraId="489D46D0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垂直岗位图谱：展示岗位描述及晋升路径关联（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promotion_routes</w:t>
      </w:r>
      <w:r>
        <w:rPr>
          <w:b w:val="0"/>
          <w:bCs w:val="0"/>
          <w:sz w:val="21"/>
          <w:szCs w:val="21"/>
        </w:rPr>
        <w:t>）。</w:t>
      </w:r>
    </w:p>
    <w:p w14:paraId="3F1993B3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换岗路径图谱：相关岗位血缘/转换关系（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transition_routes</w:t>
      </w:r>
      <w:r>
        <w:rPr>
          <w:b w:val="0"/>
          <w:bCs w:val="0"/>
          <w:sz w:val="21"/>
          <w:szCs w:val="21"/>
        </w:rPr>
        <w:t>）。</w:t>
      </w:r>
    </w:p>
    <w:p w14:paraId="6A214086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赛题量化要求：至少5个岗位具备换岗规划，每个岗位不少于2条换岗路径（已在工程里程碑中落地，详见本文第三篇、第四篇）。</w:t>
      </w:r>
    </w:p>
    <w:p w14:paraId="2486BE7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910F14B">
      <w:pPr>
        <w:numPr>
          <w:ilvl w:val="0"/>
          <w:numId w:val="0"/>
        </w:numPr>
        <w:spacing w:line="360" w:lineRule="auto"/>
        <w:jc w:val="both"/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5.3学生就业能力画像</w:t>
      </w:r>
    </w:p>
    <w:p w14:paraId="0B5C65EC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数据来源：简历上传或表单自行录入。</w:t>
      </w:r>
    </w:p>
    <w:p w14:paraId="61847D40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输出：结构化能力画像、完整度评分、竞争力评分及与赛题方向一致的维度刻画。</w:t>
      </w:r>
    </w:p>
    <w:p w14:paraId="5AE53170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大模型用于简历解析与信息抽取等环节（具体边界见本文第四篇、第五篇，避免与「规则评分」混淆）。</w:t>
      </w:r>
    </w:p>
    <w:p w14:paraId="1A7D7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E845A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5.4学生职业生涯发展报告</w:t>
      </w:r>
    </w:p>
    <w:p w14:paraId="27FE9957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职业探索与岗位匹配：结合岗位画像与学生画像，输出契合度与差距的量化与文字解释。</w:t>
      </w:r>
    </w:p>
    <w:p w14:paraId="225E4029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职业目标与路径规划：报告内career_path章节与Neo4j图谱API联动，展示晋升与换岗路径。</w:t>
      </w:r>
    </w:p>
    <w:p w14:paraId="0016EB9C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行动计划：短期/中期计划章节，含学习与实践安排建议；报告结构支持后续扩展「评估周期与指标」字段。</w:t>
      </w:r>
    </w:p>
    <w:p w14:paraId="49E41BDE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编辑与导出：支持手动编辑各章节并保存；支持PDF导出与下载。</w:t>
      </w:r>
    </w:p>
    <w:p w14:paraId="1EFE68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D93F95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5.5技术要求与指标</w:t>
      </w:r>
    </w:p>
    <w:p w14:paraId="6AC36A38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大模型应用：</w:t>
      </w:r>
      <w:r>
        <w:rPr>
          <w:rFonts w:hint="eastAsia"/>
          <w:b w:val="0"/>
          <w:bCs w:val="0"/>
          <w:sz w:val="21"/>
          <w:szCs w:val="21"/>
        </w:rPr>
        <w:t>以Pi Coding Agent为统一编排入口（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/api/v1/agent/*</w:t>
      </w:r>
      <w:r>
        <w:rPr>
          <w:rFonts w:hint="eastAsia"/>
          <w:b w:val="0"/>
          <w:bCs w:val="0"/>
          <w:sz w:val="21"/>
          <w:szCs w:val="21"/>
        </w:rPr>
        <w:t>），并与RAG（qmd + pgvector） 协同；另提供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/api/v2/ai/*</w:t>
      </w:r>
      <w:r>
        <w:rPr>
          <w:rFonts w:hint="eastAsia"/>
          <w:b w:val="0"/>
          <w:bCs w:val="0"/>
          <w:sz w:val="21"/>
          <w:szCs w:val="21"/>
        </w:rPr>
        <w:t>（任务、对话、润色、简历 HTML 等）作为AI中枢 HTTP 面。岗位画像主数据由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jobs-intelligence</w:t>
      </w:r>
      <w:r>
        <w:rPr>
          <w:rFonts w:hint="eastAsia"/>
          <w:b w:val="0"/>
          <w:bCs w:val="0"/>
          <w:sz w:val="21"/>
          <w:szCs w:val="21"/>
        </w:rPr>
        <w:t>维护</w:t>
      </w:r>
      <w:r>
        <w:rPr>
          <w:b w:val="0"/>
          <w:bCs w:val="0"/>
          <w:sz w:val="21"/>
          <w:szCs w:val="21"/>
        </w:rPr>
        <w:t>。</w:t>
      </w:r>
    </w:p>
    <w:p w14:paraId="5881F5B2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可操作性、可解释性：</w:t>
      </w:r>
      <w:r>
        <w:rPr>
          <w:rFonts w:hint="eastAsia"/>
          <w:b w:val="0"/>
          <w:bCs w:val="0"/>
          <w:sz w:val="21"/>
          <w:szCs w:val="21"/>
        </w:rPr>
        <w:t>匹配结果包含四维得分、加权总分、差距列表、改进建议与解释字段；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/api/v2/matches*、/api/v2/reports*</w:t>
      </w:r>
      <w:r>
        <w:rPr>
          <w:rFonts w:hint="eastAsia"/>
          <w:b w:val="0"/>
          <w:bCs w:val="0"/>
          <w:sz w:val="21"/>
          <w:szCs w:val="21"/>
        </w:rPr>
        <w:t>提供增强字段（路径建议、证据引用等），与V1并存</w:t>
      </w:r>
      <w:r>
        <w:rPr>
          <w:b w:val="0"/>
          <w:bCs w:val="0"/>
          <w:sz w:val="21"/>
          <w:szCs w:val="21"/>
        </w:rPr>
        <w:t>。</w:t>
      </w:r>
    </w:p>
    <w:p w14:paraId="6A73E2A0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准确性：依据仓库内30条手工抽样评测（20条匹配+10条画像），人岗匹配关键技能匹配准确率80%、画像关键信息准确率92%，综合判定达到赛题阈值（≥80%/&gt;90%）。数据来源：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data/evaluation/match.manual-samples.jsonl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data/evaluation/profile.manual-samples.jsonl</w:t>
      </w:r>
      <w:r>
        <w:rPr>
          <w:b w:val="0"/>
          <w:bCs w:val="0"/>
          <w:sz w:val="21"/>
          <w:szCs w:val="21"/>
        </w:rPr>
        <w:t>，复算命令见本文第九篇</w:t>
      </w:r>
      <w:r>
        <w:rPr>
          <w:rFonts w:hint="eastAsia"/>
          <w:b w:val="0"/>
          <w:bCs w:val="0"/>
          <w:sz w:val="21"/>
          <w:szCs w:val="21"/>
        </w:rPr>
        <w:t xml:space="preserve">；归一化/图谱可结合 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data/evaluation/</w:t>
      </w:r>
      <w:r>
        <w:rPr>
          <w:rFonts w:hint="eastAsia"/>
          <w:b w:val="0"/>
          <w:bCs w:val="0"/>
          <w:sz w:val="21"/>
          <w:szCs w:val="21"/>
        </w:rPr>
        <w:t>下基线与 E2E 产物</w:t>
      </w:r>
      <w:r>
        <w:rPr>
          <w:b w:val="0"/>
          <w:bCs w:val="0"/>
          <w:sz w:val="21"/>
          <w:szCs w:val="21"/>
        </w:rPr>
        <w:t>。</w:t>
      </w:r>
    </w:p>
    <w:p w14:paraId="0B1B0C47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实用性：</w:t>
      </w:r>
      <w:r>
        <w:rPr>
          <w:rFonts w:hint="eastAsia"/>
          <w:b w:val="0"/>
          <w:bCs w:val="0"/>
          <w:sz w:val="21"/>
          <w:szCs w:val="21"/>
        </w:rPr>
        <w:t>Vue 3前端（首页、数据流水线、岗位画像、学生画像、匹配、报告、职业路径等）与API联调；独立Agent页已移除，智能体通过API与业务页间接演示</w:t>
      </w:r>
      <w:r>
        <w:rPr>
          <w:b w:val="0"/>
          <w:bCs w:val="0"/>
          <w:sz w:val="21"/>
          <w:szCs w:val="21"/>
        </w:rPr>
        <w:t>。</w:t>
      </w:r>
    </w:p>
    <w:p w14:paraId="165F89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026720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六、技术架构亮点</w:t>
      </w:r>
    </w:p>
    <w:p w14:paraId="6D03E479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单仓Monorepo：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apps/frontend</w:t>
      </w:r>
      <w:r>
        <w:rPr>
          <w:b w:val="0"/>
          <w:bCs w:val="0"/>
          <w:sz w:val="21"/>
          <w:szCs w:val="21"/>
        </w:rPr>
        <w:t>（Vue3+TypeScript+Vite+Pinia+VueRouter）、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apps/backend</w:t>
      </w:r>
      <w:r>
        <w:rPr>
          <w:b w:val="0"/>
          <w:bCs w:val="0"/>
          <w:sz w:val="21"/>
          <w:szCs w:val="21"/>
        </w:rPr>
        <w:t>（Node.js+Express+TypeScript+Zod）、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packages/contracts</w:t>
      </w:r>
      <w:r>
        <w:rPr>
          <w:b w:val="0"/>
          <w:bCs w:val="0"/>
          <w:sz w:val="21"/>
          <w:szCs w:val="21"/>
        </w:rPr>
        <w:t>（OpenAPI+共享类型），契约优先协作。</w:t>
      </w:r>
    </w:p>
    <w:p w14:paraId="62C0298A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数据层：</w:t>
      </w:r>
      <w:r>
        <w:rPr>
          <w:rFonts w:hint="eastAsia"/>
          <w:b w:val="0"/>
          <w:bCs w:val="0"/>
          <w:sz w:val="21"/>
          <w:szCs w:val="21"/>
        </w:rPr>
        <w:t>PostgreSQL 承载岗位、规范岗位事实、学生、匹配、报告等；pgvector 承载知识库向量与混合检索；Neo4j 承载职业路径图谱（含V2自动构建链路）</w:t>
      </w:r>
      <w:r>
        <w:rPr>
          <w:b w:val="0"/>
          <w:bCs w:val="0"/>
          <w:sz w:val="21"/>
          <w:szCs w:val="21"/>
        </w:rPr>
        <w:t>。</w:t>
      </w:r>
    </w:p>
    <w:p w14:paraId="7B84ED0A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业务域：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jobs-intelligence（/api/v2</w:t>
      </w:r>
      <w:r>
        <w:rPr>
          <w:rFonts w:hint="eastAsia"/>
          <w:b w:val="0"/>
          <w:bCs w:val="0"/>
          <w:sz w:val="21"/>
          <w:szCs w:val="21"/>
        </w:rPr>
        <w:t xml:space="preserve"> 流水线、规范角色、岗位事实、V2 路径）；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ai（/api/v2/ai）</w:t>
      </w:r>
      <w:r>
        <w:rPr>
          <w:rFonts w:hint="eastAsia"/>
          <w:b w:val="0"/>
          <w:bCs w:val="0"/>
          <w:sz w:val="21"/>
          <w:szCs w:val="21"/>
        </w:rPr>
        <w:t xml:space="preserve">。  </w:t>
      </w:r>
    </w:p>
    <w:p w14:paraId="398C9797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智能层：PiCodingAgent统一编排；qmd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+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knowledge:index:*</w:t>
      </w:r>
      <w:r>
        <w:rPr>
          <w:rFonts w:hint="eastAsia" w:ascii="Courier New" w:hAnsi="Courier New" w:eastAsia="宋体" w:cs="Courier New"/>
          <w:b w:val="0"/>
          <w:bCs w:val="0"/>
          <w:sz w:val="21"/>
          <w:szCs w:val="21"/>
          <w:shd w:val="clear" w:color="auto"/>
          <w:lang w:eastAsia="zh-CN"/>
        </w:rPr>
        <w:t>、knowledge:baseline</w:t>
      </w:r>
      <w:r>
        <w:rPr>
          <w:rFonts w:hint="eastAsia"/>
          <w:b w:val="0"/>
          <w:bCs w:val="0"/>
          <w:sz w:val="21"/>
          <w:szCs w:val="21"/>
        </w:rPr>
        <w:t>等脚本支撑本地知识库建设</w:t>
      </w:r>
      <w:r>
        <w:rPr>
          <w:b w:val="0"/>
          <w:bCs w:val="0"/>
          <w:sz w:val="21"/>
          <w:szCs w:val="21"/>
        </w:rPr>
        <w:t>。</w:t>
      </w:r>
    </w:p>
    <w:p w14:paraId="62CDADE8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工程质量：统一Node22.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20</w:t>
      </w:r>
      <w:r>
        <w:rPr>
          <w:b w:val="0"/>
          <w:bCs w:val="0"/>
          <w:sz w:val="21"/>
          <w:szCs w:val="21"/>
        </w:rPr>
        <w:t>+；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run</w:t>
      </w:r>
      <w:r>
        <w:rPr>
          <w:rFonts w:hint="eastAsia" w:ascii="Courier New" w:hAnsi="Courier New" w:eastAsia="宋体" w:cs="Courier New"/>
          <w:b w:val="0"/>
          <w:bCs w:val="0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type-check</w:t>
      </w:r>
      <w:r>
        <w:rPr>
          <w:b w:val="0"/>
          <w:bCs w:val="0"/>
          <w:sz w:val="21"/>
          <w:szCs w:val="21"/>
        </w:rPr>
        <w:t>作为合入基线；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/api/v1与/api/v</w:t>
      </w:r>
      <w:r>
        <w:rPr>
          <w:rFonts w:hint="eastAsia" w:ascii="Courier New" w:hAnsi="Courier New" w:eastAsia="宋体" w:cs="Courier New"/>
          <w:b w:val="0"/>
          <w:bCs w:val="0"/>
          <w:sz w:val="21"/>
          <w:szCs w:val="21"/>
          <w:shd w:val="clear" w:color="auto"/>
          <w:lang w:val="en-US" w:eastAsia="zh-CN"/>
        </w:rPr>
        <w:t>2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并存</w:t>
      </w:r>
      <w:r>
        <w:rPr>
          <w:b w:val="0"/>
          <w:bCs w:val="0"/>
          <w:sz w:val="21"/>
          <w:szCs w:val="21"/>
        </w:rPr>
        <w:t>。</w:t>
      </w:r>
    </w:p>
    <w:p w14:paraId="02056EC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BE500C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七、创新点</w:t>
      </w:r>
    </w:p>
    <w:p w14:paraId="6204E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1.可解释的人岗匹配：严格按赛题四维框架打分，并输出可追踪的说明与改进建议，而非单一「匹配度百分比」。</w:t>
      </w:r>
    </w:p>
    <w:p w14:paraId="025D8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2.路径图谱与报告联动：图谱查询接口与报告career_path章节同一数据源逻辑，避免「报告与图谱各说各话」。</w:t>
      </w:r>
    </w:p>
    <w:p w14:paraId="531A5F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3.结构化报告+版本化：同一匹配结果可生成多版报告，便于迭代对比与答辩展示。</w:t>
      </w:r>
    </w:p>
    <w:p w14:paraId="2A2A1B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4.可演进架构：</w:t>
      </w:r>
      <w:r>
        <w:rPr>
          <w:rFonts w:hint="eastAsia"/>
          <w:b w:val="0"/>
          <w:bCs w:val="0"/>
          <w:sz w:val="21"/>
          <w:szCs w:val="21"/>
        </w:rPr>
        <w:t>Repository适配器模式，关系库/向量/图谱分层清晰；岗位智能（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jobs-intelligence</w:t>
      </w:r>
      <w:r>
        <w:rPr>
          <w:rFonts w:hint="eastAsia"/>
          <w:b w:val="0"/>
          <w:bCs w:val="0"/>
          <w:sz w:val="21"/>
          <w:szCs w:val="21"/>
        </w:rPr>
        <w:t>）与AI中枢（</w:t>
      </w:r>
      <w:r>
        <w:rPr>
          <w:rFonts w:hint="eastAsia"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/api/v2/ai</w:t>
      </w:r>
      <w:r>
        <w:rPr>
          <w:rFonts w:hint="eastAsia"/>
          <w:b w:val="0"/>
          <w:bCs w:val="0"/>
          <w:sz w:val="21"/>
          <w:szCs w:val="21"/>
        </w:rPr>
        <w:t>）分域演进，便于院校私有化部署。</w:t>
      </w:r>
    </w:p>
    <w:p w14:paraId="5730C9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40EC9A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八、章节索引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148"/>
        <w:gridCol w:w="4118"/>
      </w:tblGrid>
      <w:tr w14:paraId="188E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E3B04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原文件名/材料</w:t>
            </w:r>
          </w:p>
        </w:tc>
        <w:tc>
          <w:tcPr>
            <w:vAlign w:val="center"/>
          </w:tcPr>
          <w:p w14:paraId="5D803A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详细方案</w:t>
            </w:r>
            <w:r>
              <w:rPr>
                <w:b/>
                <w:bCs/>
                <w:sz w:val="21"/>
                <w:szCs w:val="21"/>
              </w:rPr>
              <w:t>位置</w:t>
            </w:r>
          </w:p>
        </w:tc>
      </w:tr>
      <w:tr w14:paraId="0FBA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4F0F3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项目详细方案（主干）</w:t>
            </w:r>
          </w:p>
        </w:tc>
        <w:tc>
          <w:tcPr>
            <w:vAlign w:val="center"/>
          </w:tcPr>
          <w:p w14:paraId="5E9A7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第一篇～第六篇及篇内各小节</w:t>
            </w:r>
          </w:p>
        </w:tc>
      </w:tr>
      <w:tr w14:paraId="3DD6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4A1F2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项目技术架构</w:t>
            </w:r>
          </w:p>
        </w:tc>
        <w:tc>
          <w:tcPr>
            <w:vAlign w:val="center"/>
          </w:tcPr>
          <w:p w14:paraId="2D59F3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第二篇2.6</w:t>
            </w:r>
          </w:p>
        </w:tc>
      </w:tr>
      <w:tr w14:paraId="0FB7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34878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RAG优化方案</w:t>
            </w:r>
          </w:p>
        </w:tc>
        <w:tc>
          <w:tcPr>
            <w:vAlign w:val="center"/>
          </w:tcPr>
          <w:p w14:paraId="795A7C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第五篇5.6</w:t>
            </w:r>
          </w:p>
        </w:tc>
      </w:tr>
      <w:tr w14:paraId="24CD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98691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接口文档</w:t>
            </w:r>
          </w:p>
        </w:tc>
        <w:tc>
          <w:tcPr>
            <w:vAlign w:val="center"/>
          </w:tcPr>
          <w:p w14:paraId="26A971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第七篇7.6</w:t>
            </w:r>
          </w:p>
        </w:tc>
      </w:tr>
      <w:tr w14:paraId="13E7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43BC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API端点速查</w:t>
            </w:r>
          </w:p>
        </w:tc>
        <w:tc>
          <w:tcPr>
            <w:vAlign w:val="center"/>
          </w:tcPr>
          <w:p w14:paraId="543CC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第七篇7.7</w:t>
            </w:r>
          </w:p>
        </w:tc>
      </w:tr>
      <w:tr w14:paraId="30CB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239D5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环境变量摘要</w:t>
            </w:r>
          </w:p>
        </w:tc>
        <w:tc>
          <w:tcPr>
            <w:vAlign w:val="center"/>
          </w:tcPr>
          <w:p w14:paraId="455F3C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第八篇8.7</w:t>
            </w:r>
          </w:p>
        </w:tc>
      </w:tr>
      <w:tr w14:paraId="74FE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1DB66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数据实体/四维评分细则</w:t>
            </w:r>
          </w:p>
        </w:tc>
        <w:tc>
          <w:tcPr>
            <w:vAlign w:val="center"/>
          </w:tcPr>
          <w:p w14:paraId="458E29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第四篇4.10</w:t>
            </w:r>
          </w:p>
        </w:tc>
      </w:tr>
      <w:tr w14:paraId="2898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E502A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手工抽样评测报告</w:t>
            </w:r>
          </w:p>
        </w:tc>
        <w:tc>
          <w:tcPr>
            <w:vAlign w:val="center"/>
          </w:tcPr>
          <w:p w14:paraId="6D8EF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第九篇9.3</w:t>
            </w:r>
          </w:p>
        </w:tc>
      </w:tr>
      <w:tr w14:paraId="01177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31C62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 xml:space="preserve">图谱/归一化评测摘要 </w:t>
            </w:r>
          </w:p>
        </w:tc>
        <w:tc>
          <w:tcPr>
            <w:vAlign w:val="center"/>
          </w:tcPr>
          <w:p w14:paraId="5F97E9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第九篇9.2</w:t>
            </w:r>
          </w:p>
        </w:tc>
      </w:tr>
      <w:tr w14:paraId="76A8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054E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Pi AI 中枢实施清单</w:t>
            </w:r>
          </w:p>
        </w:tc>
        <w:tc>
          <w:tcPr>
            <w:vAlign w:val="center"/>
          </w:tcPr>
          <w:p w14:paraId="73E96B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</w:rPr>
              <w:t>第五篇、第四篇4.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8</w:t>
            </w:r>
          </w:p>
        </w:tc>
      </w:tr>
      <w:tr w14:paraId="2460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144E08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评测规范</w:t>
            </w:r>
          </w:p>
        </w:tc>
        <w:tc>
          <w:tcPr>
            <w:vAlign w:val="center"/>
          </w:tcPr>
          <w:p w14:paraId="66C2DF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b w:val="0"/>
                <w:bCs w:val="0"/>
                <w:sz w:val="21"/>
                <w:szCs w:val="21"/>
              </w:rPr>
              <w:t>第九篇9.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6</w:t>
            </w:r>
          </w:p>
        </w:tc>
      </w:tr>
    </w:tbl>
    <w:p w14:paraId="5551FD40">
      <w:pPr>
        <w:spacing w:after="120"/>
        <w:jc w:val="left"/>
      </w:pPr>
      <w:r>
        <w:t xml:space="preserve"> </w:t>
      </w:r>
    </w:p>
    <w:p w14:paraId="05B76E3B">
      <w:pPr>
        <w:spacing w:after="200"/>
      </w:pPr>
      <w:r>
        <w:t xml:space="preserve"> </w:t>
      </w:r>
    </w:p>
    <w:p w14:paraId="70768BD9">
      <w:pPr>
        <w:spacing w:after="120"/>
        <w:jc w:val="left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164D9"/>
    <w:multiLevelType w:val="singleLevel"/>
    <w:tmpl w:val="998164D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65BE553"/>
    <w:multiLevelType w:val="singleLevel"/>
    <w:tmpl w:val="B65BE55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E8A2E0"/>
    <w:multiLevelType w:val="singleLevel"/>
    <w:tmpl w:val="BEE8A2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CA509CD"/>
    <w:multiLevelType w:val="singleLevel"/>
    <w:tmpl w:val="ECA509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19BB06E"/>
    <w:multiLevelType w:val="singleLevel"/>
    <w:tmpl w:val="619BB06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72EF18FB"/>
    <w:multiLevelType w:val="singleLevel"/>
    <w:tmpl w:val="72EF18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5B3AF0"/>
    <w:rsid w:val="0F460092"/>
    <w:rsid w:val="130B7721"/>
    <w:rsid w:val="38D15BD0"/>
    <w:rsid w:val="476D134A"/>
    <w:rsid w:val="48064139"/>
    <w:rsid w:val="721376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3150</Words>
  <Characters>4295</Characters>
  <TotalTime>0</TotalTime>
  <ScaleCrop>false</ScaleCrop>
  <LinksUpToDate>false</LinksUpToDate>
  <CharactersWithSpaces>4686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2026-04-08T09:20:00Z</dcterms:created>
  <dc:creator>Un-named</dc:creator>
  <cp:lastModifiedBy>曹根绮</cp:lastModifiedBy>
  <dcterms:modified xsi:type="dcterms:W3CDTF">2026-04-08T09:28:58Z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eyJoZGlkIjoiZTEzN2MyYjg3ZTBkNTNlNDc4OTJhZjQwMmJmNmVmZDUiLCJ1c2VySWQiOiIxNjk4NzY0ODIwIn0=</vt:lpwstr>
  </property>
  <property fmtid="{D5CDD505-2E9C-101B-9397-08002B2CF9AE}" pid="3" name="KSOProductBuildVer">
    <vt:lpwstr>2052-12.1.0.23542</vt:lpwstr>
  </property>
  <property fmtid="{D5CDD505-2E9C-101B-9397-08002B2CF9AE}" pid="4" name="ICV">
    <vt:lpwstr>444CF0DB18E54D7C88EAD7942463C872_13</vt:lpwstr>
  </property>
</Properties>
</file>