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17324D"/>
          <w:sz w:val="46"/>
        </w:rPr>
        <w:t>今井达也应如何重返 MLB 先发轮值？</w:t>
      </w:r>
    </w:p>
    <w:p>
      <w:pPr>
        <w:spacing w:before="0" w:after="360" w:line="240" w:lineRule="auto"/>
        <w:jc w:val="center"/>
      </w:pPr>
      <w:r>
        <w:rPr>
          <w:rFonts w:ascii="Microsoft YaHei" w:hAnsi="Microsoft YaHei" w:eastAsia="Microsoft YaHei"/>
          <w:b/>
          <w:i w:val="0"/>
          <w:color w:val="2E74B5"/>
          <w:sz w:val="26"/>
        </w:rPr>
        <w:t>完整分析底稿：数据、计算、迭代、反证与决策门槛</w:t>
      </w:r>
    </w:p>
    <w:p>
      <w:pPr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A95"/>
          <w:sz w:val="19"/>
        </w:rPr>
        <w:t>作者：杨炎新（3230102355）</w:t>
      </w:r>
    </w:p>
    <w:p>
      <w:pPr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A95"/>
          <w:sz w:val="19"/>
        </w:rPr>
        <w:t>研究冻结日：2026-08-12</w:t>
      </w:r>
    </w:p>
    <w:p>
      <w:pPr>
        <w:spacing w:before="0" w:after="40" w:line="240" w:lineRule="auto"/>
        <w:jc w:val="center"/>
      </w:pPr>
      <w:r>
        <w:rPr>
          <w:rFonts w:ascii="Microsoft YaHei" w:hAnsi="Microsoft YaHei" w:eastAsia="Microsoft YaHei"/>
          <w:b w:val="0"/>
          <w:i w:val="0"/>
          <w:color w:val="617A95"/>
          <w:sz w:val="19"/>
        </w:rPr>
        <w:t>项目目录：MLB-Analytics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摘要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本研究回答课程题目“今井达也在 MLB 应如何调整和发展”。研究不从 ERA 单一结果倒推能力，而把问题拆成球威、控球、球种结构、打者侧别与角色负荷五条可检验路径。主样本为今井 2026-03-29 至 2026-08-12 的 17 场 MLB 比赛、1,240 个有球种标签的 Statcast 投球和 288 个打席；比较基准为其 NPB 2018—2025 官方统计，重点使用 NPB Basement 2023—2025 高级与球种数据。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结论是：三振和挥空能力仍在，失败的首要来源是保送率翻倍及首球、好球区控制下降；球种层面不是“没有第三球种”，而是 2025 年成熟变速球在 MLB 的使用率从 12.7%降至 2.3%，同时速度差缩小。四缝线的伤害主要集中在左打者，滑球在两侧仍为正价值。两次牛棚登板的过程指标明显改善，但只有 23 个打席，不能推导永久转型。建议以多局牛棚为短期校准环境，重建对左打变速球，用连续 60 个打席的 Zone%、首球好球率、BB%及球种质量门槛决定何时进入 45、60、75 球的先发负荷阶梯。</w:t>
      </w:r>
    </w:p>
    <w:p>
      <w:r>
        <w:br w:type="page"/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1. 作业要求与研究问题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课程文件给出的第二个问题是“今井达也应该如何在 MLB 调整和发展”。正式文稿要求不超过两页，第一段加粗写结论，其余证据置后；同时保留提示词、计算过程和完整底稿。本项目因此把提交物分成：两页正式决策文稿、完整底稿、可复现代码、原始快照与哈希、处理表、图表和 QA 记录。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决策问题不是泛泛评价球员，而是：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2026 年 MLB 表现不佳主要来自球威、控球、配球结构还是先发负荷？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哪些调整应按打者侧别和球数情境实施？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牛棚阶段是永久角色答案，还是用于重新校准的实验环境？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用哪些可观测指标决定重返先发，而不是依赖一两场 ERA？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2. 预注册假设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H1 球威保留：K%和 Whiff%仍显示高于平均的挥空能力。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H2 控球瓶颈：Zone%、首球好球率和 BB%是主要损失来源。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H3 二球种依赖：四缝线+滑球过高，且价值在打者侧别或球数上不对称。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H4 角色交互：缩短局数可能改善执行，但小样本只产生阶段性证据。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H5 第三球种条件：低频球种必须结合历史成熟度、侧别和速度分层判断。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在看到分组结果前先写下这些假设，目的是降低“看到数字后编故事”的风险。分析过程中允许修改问题，但必须记录新证据和修改理由。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3. 数据来源、冻结与可信度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3.1 MLB 数据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MLB StatsAPI：官方比赛日志，确定 17 场、15 次先发、64.2 局、80K、42BB，并为逐球重建提供核对基准。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Baseball Savant Statcast：逐球球种、球数、位置、挥棒和结果。原文件 1,241 行，其中 1 行为自动坏球且无球种标签；球种分析使用其余 1,240 行。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Savant Expected Statistics 与 Pitch Arsenal：核对 xERA、K%、BB%、各球种官方 Run Value、wOBA/xwOBA。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MLB.com 两篇报道：只用于确认适应背景和 7 月 31 日转牛棚的球队语境。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3.2 NPB 数据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NPB 官方球员页：2018—2025 传统统计；2025 为 163.2 局、178K、45BB、6HR、ERA 1.92。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NPB Basement：2023—2025 高级统计和球种数据。2025 K% 27.8%、BB% 7.0%、FIP 2.351、WAR 4.47；球种数据用于判断第三球种是否曾经成熟。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3.3 数据治理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所有 URL、下载时间、字节数和 SHA-256 记录于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data/raw/source_manifest.csv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。原始快照不由分析脚本覆盖；处理结果写入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data/processed/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。StatsAPI 与 Statcast/Savant 的三振、保送、比赛数、球种球数均进行机器校验，差值为 0。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4. 指标定义与计算方法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4.1 结果指标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K% = 三振 / 打席；BB% = 保送 / 打席；K-BB% = K% - BB%。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ERA = 自责分 × 9 / 局数；xERA 取 Savant 赛季表。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Run Value 采用投手视角：正值对投手有利，负值对投手不利；RV/100 = 投手 Run Value / 球数 × 100。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4.2 过程指标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Zone%：坐标落在规则化好球区的投球数 / 有球种投球数。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首球好球率：每个打席第一球被记录为好球结果的比例。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Whiff%：挥空 / 挥棒；挥空包含 swinging strike、blocked swinging strike 和 foul tip。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Chase%：好球区外挥棒 / 好球区外投球。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95% 区间：二项比例 Wilson 区间，用于提醒牛棚小样本的不确定性。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4.3 分组与限制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比赛日志标为 starter 的场次定义为先发，其余为牛棚。面对打线轮次由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at_bat_number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 和单场顺序近似重建；它是描述性分组。NPB xPV/100 与 MLB Run Value/100 的模型和环境不同，只比较“该球种在本联盟中相对有效或无效”的方向，不直接相减。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5. 分析循环一：球威是否消失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MLB 2026 的 ERA 5.29 和 xERA 4.89 都不理想，但 K% 仍为 27.8%，恰好等于 NPB 2025；Whiff% 32.3%，高于 Savant 页面同口径 MLB 平均 25.0%。因此“球威整体失效”不成立。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相反，BB% 从 NPB 2025 的 7.0%升至 14.6%，增幅 7.6 个百分点，几乎翻倍；K-BB%由 20.7%降至 13.2%。今井不是无法结束打席，而是更难在结束之前进入有利球数。逐球过程也一致：Zone% 43.6%对 MLB 平均 48.7%，首球好球率 51.7%对平均 61.2%；Chase% 27.2%接近平均 28.6%。当打者不必更积极追坏球时，低进区率更容易转化成深球数与保送。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结论：保留 H1 与 H2。首要训练目标应是可控地进区，而不是增加强度。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28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40" w:lineRule="auto"/>
      </w:pPr>
      <w:r>
        <w:rPr>
          <w:rFonts w:ascii="Microsoft YaHei" w:hAnsi="Microsoft YaHei" w:eastAsia="Microsoft YaHei"/>
          <w:b w:val="0"/>
          <w:i w:val="0"/>
          <w:color w:val="617A95"/>
          <w:sz w:val="14"/>
        </w:rPr>
        <w:t>图1　核心诊断：三振能力保留，控球与球种结构退化。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6. 分析循环二：球种结构到底缺什么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MLB 中四缝线 43.5%、滑球 45.3%，合计 88.9%。滑球 Whiff 40.6%、xwOBA .274、官方 Run Value +4，是可以继续围绕的终结武器。四缝线平均 94.86 mph，与 NPB 2025 的 94.87 mph几乎一致，再次反对“球速下降导致失败”。四缝线整体 Run Value -1、xwOBA .401，说明结果风险，但需要继续拆分。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关键新发现来自跨联盟球种结构。2025 年 NPB 变速球使用率 12.67%、Whiff 41.55%、xPV/100 +1.026，并不是尚未形成的试验球。MLB 中仅 29 球、使用率 2.34%。它的 MLB 表面 Whiff 62.5%和 Run Value -1 均因样本极小而不可直接推广；真正可信的是使用率断崖式下降和形态变化：均速由 84.73 mph升至 86.84 mph，而四缝线保持 94.86 mph，使速度差从约 10.14 mph缩至 8.01 mph。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问题由“开发一个第三球种”修正为“重建 2025 年已有证据的变速球”。目标包括出手隧道、横向/垂直形态和 8—10 mph速度差，不应仅凭 29 球的结果立刻大量使用。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7. 分析循环三：打者侧别与球数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四缝线对左打 311 球，Whiff 15.4%、RV/100 -1.27；对右打 229 球，Whiff 27.0%、RV/100 +1.47。滑球对左、右打的 RV/100 分别为 +0.98 与 +0.11，均为正值。由此可见，笼统减少四缝线会错失其对右打的价值；真正需要改造的是对左打的四缝线位置与配套速度层。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球数拆分也不支持简单规则。在满球数时四缝线 29 球，RV/100 +6.39；在投手领先时 134 球，RV/100 -1.91。由于这些分组仍受位置和选择偏差影响，建议不能写成“满球数只投四缝线”或“领先时不用四缝线”。更合理的训练要求是：对左打用能进区的四缝线建立边界，再用变速球改变速度与横向视觉，保留滑球作为挥空武器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8. 分析循环四：牛棚改善是否可信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15 次先发共 1,151 球、265 打席，Zone% 43.4%（95% CI 40.6—46.3）、首球好球率 49.8%（43.8—55.8）、Whiff 31.6%（27.7—35.8）。两次牛棚共 89 球、23 打席，分别为 46.1%（36.1—56.4）、73.9%（53.5—87.5）、40.0%（27.0—54.5），Chase%也由 26.4%升至 37.5%。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改善方向一致，但置信区间宽且多数与先发重叠。四缝线均速从先发 94.87 mph略降至牛棚 94.72 mph，说明变化至少不是简单的“短局数带来更高球速”。面对打线第三轮 161 球的四缝线均速为 95.65 mph，也未出现疲劳性球速下降；其总 Run Value +4.39，反而优于第二轮。由此否定“第三轮必然崩盘”这一方便但证据不足的叙事。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结论：牛棚是重新练习进入好球区、缩小每次任务复杂度的合理环境，但目前不能证明永久后援角色更优。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76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role_plato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60" w:line="240" w:lineRule="auto"/>
      </w:pPr>
      <w:r>
        <w:rPr>
          <w:rFonts w:ascii="Microsoft YaHei" w:hAnsi="Microsoft YaHei" w:eastAsia="Microsoft YaHei"/>
          <w:b w:val="0"/>
          <w:i w:val="0"/>
          <w:color w:val="617A95"/>
          <w:sz w:val="14"/>
        </w:rPr>
        <w:t>图2　角色与侧别：牛棚改善方向积极，但样本不足；四缝线问题集中于左打。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9. 决策方案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9.1 阶段 A：健康与动作校准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先确认右臂疲劳无复发，保留 1—2 局多局牛棚。训练分为三条：四缝线 glove-side 进区重复性；滑球的 chase 区与非竞争坏球分离；变速球恢复 8—10 mph速度差和与四缝线相同的早期轨迹。比赛使用率逐步提升，避免一次性跳到 2025 NPB 水平。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9.2 阶段 B：过程门槛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至少连续 60 个打席同时满足：Zone% ≥46%、首球好球率 ≥60%、BB% ≤10%；变速球使用率在 8%—12%，主要对左打；球速差、挥空和接触质量中至少两项稳定。这里的阈值是综合 MLB 平均、今井牛棚初始信号和其 NPB 能力形成的操作规则，不是统计上估计出的真实分界点。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9.3 阶段 C：负荷阶梯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按 45→60→75 球进行长局数，每阶至少两次。检查后半段 Zone%、首球好球率、四缝线球速和变速球速度差；若 BB%重新高于 12%、动作指标恶化或出现疲劳，退回上一阶。只有健康和过程都达标才进入正式先发。</w:t>
      </w:r>
    </w:p>
    <w:p>
      <w:pPr>
        <w:keepNext/>
        <w:spacing w:before="160" w:after="100"/>
      </w:pPr>
      <w:r>
        <w:rPr>
          <w:rFonts w:ascii="Microsoft YaHei" w:hAnsi="Microsoft YaHei" w:eastAsia="Microsoft YaHei"/>
          <w:b/>
          <w:i w:val="0"/>
          <w:color w:val="2E74B5"/>
          <w:sz w:val="25"/>
        </w:rPr>
        <w:t>9.4 长期角色分支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60—75 球仍达标：重返传统先发。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前两轮稳定、第三轮在扩大样本后持续失效：使用“一次打线+”、跟随投手或四至五局短先发。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控球在牛棚也无法恢复：暂停负荷升级，重新评估健康、动作与球种握法，而不是用更多滑球掩盖进区问题。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10. 稳健性与替代解释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1.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ERA 受防守、时序和小样本波动影响，因此同时报告 xERA 和过程指标。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2.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自动好坏球事件可能缺少球种标签，主球种表排除 1 行；三振与保送由 StatsAPI 对账。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3.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NPB 到 MLB 有比赛用球、打者水平、球场和追踪系统差异，跨联盟比较只用于识别结构变化。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4.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伤病、赛程和角色变化混杂牛棚前后比较；没有随机分配，不能写因果。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5.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变速球 MLB 只有 29 球，不能用其 .875 xwOBA 或 62.5% Whiff 判断真实质量；建议来自 NPB 成熟证据、使用率下降与速度差变化的联合证据。</w:t>
      </w:r>
    </w:p>
    <w:p>
      <w:pPr>
        <w:spacing w:after="80" w:line="283" w:lineRule="auto"/>
        <w:ind w:left="482" w:hanging="312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6.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面对打线轮次的结果不支持简单疲劳叙事，但第三轮只有 161 球，也不足以证明永远不存在轮次效应。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11. 结论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今井仍拥有 MLB 级别的三振上限。正确的发展方向不是把高 ERA等同于球威不足，也不是因两场牛棚成功就永久改造成后援。短期应利用多局牛棚降低任务复杂度，恢复首球和好球区控制；中期把 2025 年已经成熟的变速球重新纳入对左打方案，修复与四缝线的速度分层；之后用预先声明的健康、控球、球种质量和负荷门槛重返先发。这个方案把“角色争论”转成可更新的决策流程，也明确哪些证据会推翻当前建议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12. 复现说明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运行顺序：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python scripts/fetch_data.py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 获取并冻结原始数据；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python scripts/analyze.py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 生成处理表、校验与图表；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python scripts/build_reports.py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 生成 Word 文稿。完整 URL 和哈希见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data/raw/source_manifest.csv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，对账见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qa/data_reconciliation.csv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。为保持历史可审计性，重新抓取会更新时间与动态来源哈希；纯复现分析时只运行后两个脚本。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附录 A：关键数字索引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MLB：17 场、15 次先发、64.2 局、80K、42BB、ERA 5.29、xERA 4.89、288 打席。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NPB 2025：163.2 局、178K、45BB、ERA 1.92、K% 27.8、BB% 7.0、FIP 2.351。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MLB 过程：Zone 43.6、首球好球 51.7、Whiff 32.3、Chase 27.2、K-BB 13.2。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球种：滑球 45.3%/+4 RV；四缝线 43.5%/-1 RV；变速球 2.3%/-1 RV（仅 29 球）。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NPB 2025 变速球：12.7%、84.7 mph、41.6% Whiff、xPV/100 +1.03。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对左打四缝线：311 球、15.4% Whiff、RV/100 -1.27。</w:t>
      </w:r>
    </w:p>
    <w:p>
      <w:pPr>
        <w:spacing w:after="60" w:line="283" w:lineRule="auto"/>
        <w:ind w:left="425" w:hanging="215"/>
      </w:pPr>
      <w:r>
        <w:rPr>
          <w:rFonts w:ascii="Microsoft YaHei" w:hAnsi="Microsoft YaHei" w:eastAsia="Microsoft YaHei"/>
          <w:b/>
          <w:i w:val="0"/>
          <w:color w:val="2E74B5"/>
          <w:sz w:val="21"/>
        </w:rPr>
        <w:t xml:space="preserve">• 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牛棚：89 球、23 打席；Zone 46.1、首球好球 73.9、Whiff 40.0。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附录 B：AI 协作与研究诚信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AI 用于读取课程要求、检索公开数据、编写抓取与分析代码、迭代假设、生成图表和起草文稿。每一步摘要记录在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01_research/ai_prompt_log.md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；假设变化记录在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01_research/analysis_cycle_results.md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。关键结论必须能由保存的数据和脚本重算。没有获得的数据不补写；低样本结果明确标记；观察性角色比较不表述为因果。</w:t>
      </w:r>
    </w:p>
    <w:p>
      <w:pPr>
        <w:keepNext/>
        <w:spacing w:before="240" w:after="100"/>
      </w:pPr>
      <w:r>
        <w:rPr>
          <w:rFonts w:ascii="Microsoft YaHei" w:hAnsi="Microsoft YaHei" w:eastAsia="Microsoft YaHei"/>
          <w:b/>
          <w:i w:val="0"/>
          <w:color w:val="17324D"/>
          <w:sz w:val="31"/>
        </w:rPr>
        <w:t>附录 C：来源</w:t>
      </w:r>
    </w:p>
    <w:p>
      <w:pPr>
        <w:spacing w:after="100" w:line="288" w:lineRule="auto"/>
        <w:ind w:firstLine="420"/>
        <w:jc w:val="both"/>
      </w:pP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S1 MLB StatsAPI；S2 Baseball Savant Statcast Search；S3 Savant Expected Statistics；S4 Savant Pitch Arsenal；S5 NPB 官方球员页；S6 NPB Basement；S7 MLB.com 2026-05-31；S8 MLB.com 2026-07-31。完整 URL、本地文件名、下载时间和 SHA-256 见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01_research/source_register.md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 xml:space="preserve"> 与 </w:t>
      </w:r>
      <w:r>
        <w:rPr>
          <w:rFonts w:ascii="Microsoft YaHei" w:hAnsi="Microsoft YaHei" w:eastAsia="Microsoft YaHei"/>
          <w:b w:val="0"/>
          <w:i w:val="0"/>
          <w:color w:val="7A5A00"/>
          <w:sz w:val="20"/>
        </w:rPr>
        <w:t>data/raw/source_manifest.csv</w:t>
      </w:r>
      <w:r>
        <w:rPr>
          <w:rFonts w:ascii="Microsoft YaHei" w:hAnsi="Microsoft YaHei" w:eastAsia="Microsoft YaHei"/>
          <w:b w:val="0"/>
          <w:i w:val="0"/>
          <w:color w:val="172B3A"/>
          <w:sz w:val="21"/>
        </w:rPr>
        <w:t>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49" w:bottom="935" w:left="104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i w:val="0"/>
        <w:color w:val="617A95"/>
        <w:sz w:val="15"/>
      </w:rPr>
      <w:t xml:space="preserve">第 </w:t>
    </w:r>
    <w:fldSimple w:instr="PAGE"/>
    <w:r>
      <w:rPr>
        <w:rFonts w:ascii="Microsoft YaHei" w:hAnsi="Microsoft YaHei" w:eastAsia="Microsoft YaHei"/>
        <w:b w:val="0"/>
        <w:i w:val="0"/>
        <w:color w:val="617A95"/>
        <w:sz w:val="15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/>
        <w:b/>
        <w:i w:val="0"/>
        <w:color w:val="617A95"/>
        <w:sz w:val="15"/>
      </w:rPr>
      <w:t>今井达也 MLB 调整研究｜完整分析底稿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Microsoft YaHei" w:hAnsi="Microsoft YaHei" w:eastAsia="Microsoft YaHei"/>
      <w:b w:val="0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今井达也MLB调整决策完整分析底稿</dc:title>
  <dc:subject>数据、计算、迭代、反证与决策门槛</dc:subject>
  <dc:creator>杨炎新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