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rFonts w:ascii="Microsoft YaHei" w:hAnsi="Microsoft YaHei" w:eastAsia="Microsoft YaHei"/>
          <w:b/>
          <w:i w:val="0"/>
          <w:color w:val="17324D"/>
          <w:sz w:val="32"/>
        </w:rPr>
        <w:t>今井达也应如何重返 MLB 先发轮值？</w:t>
      </w:r>
    </w:p>
    <w:p>
      <w:pPr>
        <w:spacing w:before="0" w:after="40" w:line="240" w:lineRule="auto"/>
        <w:jc w:val="center"/>
      </w:pPr>
      <w:r>
        <w:rPr>
          <w:rFonts w:ascii="Microsoft YaHei" w:hAnsi="Microsoft YaHei" w:eastAsia="Microsoft YaHei"/>
          <w:b/>
          <w:i w:val="0"/>
          <w:color w:val="2E74B5"/>
          <w:sz w:val="21"/>
        </w:rPr>
        <w:t>——基于控球、球种价值与角色转换的决策分析</w:t>
      </w:r>
    </w:p>
    <w:p>
      <w:pPr>
        <w:spacing w:before="0" w:after="100" w:line="240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17A95"/>
          <w:sz w:val="16"/>
        </w:rPr>
        <w:t>杨炎新　3230102355　｜　数据截止：2026-08-12</w:t>
      </w:r>
    </w:p>
    <w:p>
      <w:pPr>
        <w:spacing w:before="0" w:after="100" w:line="252" w:lineRule="auto"/>
        <w:ind w:left="125" w:right="125"/>
      </w:pPr>
      <w:r>
        <w:rPr>
          <w:rFonts w:ascii="Microsoft YaHei" w:hAnsi="Microsoft YaHei" w:eastAsia="Microsoft YaHei"/>
          <w:b/>
          <w:i w:val="0"/>
          <w:color w:val="172B3A"/>
          <w:sz w:val="18"/>
        </w:rPr>
        <w:t>结论先行：今井达也的 MLB 困境不是“球威不够”，而是控球回退、对左打四缝线效率不佳，以及 NPB 时期有效变速球的使用和速度分层消失。建议暂留多局牛棚作为校准环境，先恢复抢好球能力并重建对左打变速球，再以量化门槛逐级返回先发；当前两次牛棚登板只能视为积极信号，不能证明永久转型更优。</w:t>
      </w:r>
    </w:p>
    <w:p>
      <w:pPr>
        <w:keepNext/>
        <w:spacing w:before="100" w:after="60"/>
      </w:pPr>
      <w:r>
        <w:rPr>
          <w:rFonts w:ascii="Microsoft YaHei" w:hAnsi="Microsoft YaHei" w:eastAsia="Microsoft YaHei"/>
          <w:b/>
          <w:i w:val="0"/>
          <w:color w:val="2E74B5"/>
          <w:sz w:val="21"/>
        </w:rPr>
        <w:t>一、诊断：上限仍在，失败来自控球与球种组织</w:t>
      </w:r>
    </w:p>
    <w:p>
      <w:pPr>
        <w:spacing w:before="0" w:after="60" w:line="240" w:lineRule="auto"/>
        <w:ind w:firstLine="340"/>
      </w:pPr>
      <w:r>
        <w:rPr>
          <w:rFonts w:ascii="Microsoft YaHei" w:hAnsi="Microsoft YaHei" w:eastAsia="Microsoft YaHei"/>
          <w:b w:val="0"/>
          <w:i w:val="0"/>
          <w:color w:val="172B3A"/>
          <w:sz w:val="17"/>
        </w:rPr>
        <w:t>截至 8 月 12 日，今井在 MLB 17 场（15 场先发）64.2 局，ERA 5.29、xERA 4.89。K%为27.8%，与NPB 2025完全相同；真正恶化的是BB%，由7.0%升至14.6%，K-BB%由20.7%降至13.2%。1,240球显示Zone% 43.6%、首球好球率51.7%，低于Savant同页MLB平均48.7%和61.2%；Whiff% 32.3%却高于平均25.0%。优先级因此是重新取得球数控制，而不是继续追求球速。</w:t>
      </w:r>
    </w:p>
    <w:p>
      <w:pPr>
        <w:spacing w:before="0" w:after="40" w:line="240" w:lineRule="auto"/>
        <w:ind w:firstLine="340"/>
      </w:pPr>
      <w:r>
        <w:rPr>
          <w:rFonts w:ascii="Microsoft YaHei" w:hAnsi="Microsoft YaHei" w:eastAsia="Microsoft YaHei"/>
          <w:b w:val="0"/>
          <w:i w:val="0"/>
          <w:color w:val="172B3A"/>
          <w:sz w:val="17"/>
        </w:rPr>
        <w:t>MLB中四缝线+滑球占88.9%。滑球仍是核心武器（45.3%使用、40.6% Whiff、+4 RV、xwOBA .274）；四缝线整体接近中性，却对左打只有15.4% Whiff、RV/100 -1.27。NPB 2025变速球曾有12.7%使用、41.6% Whiff、xPV/100 +1.03，到MLB仅剩2.3%；均速还由84.7升至86.8 mph，使其与94.9 mph四缝线的速度差缩小约2.1 mph。应重建这颗已有证据的球，而非凭空发明第三球种。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989320" cy="34604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_core_diagnosi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460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60" w:line="240" w:lineRule="auto"/>
      </w:pPr>
      <w:r>
        <w:rPr>
          <w:rFonts w:ascii="Microsoft YaHei" w:hAnsi="Microsoft YaHei" w:eastAsia="Microsoft YaHei"/>
          <w:b w:val="0"/>
          <w:i w:val="0"/>
          <w:color w:val="617A95"/>
          <w:sz w:val="14"/>
        </w:rPr>
        <w:t>图1　NPB 2025与MLB 2026诊断。来源：NPB官方、NPB Basement、Baseball Savant；跨联盟球种价值只比较方向。</w:t>
      </w:r>
    </w:p>
    <w:p>
      <w:r>
        <w:br w:type="page"/>
      </w:r>
    </w:p>
    <w:p>
      <w:pPr>
        <w:keepNext/>
        <w:spacing w:before="100" w:after="60"/>
      </w:pPr>
      <w:r>
        <w:rPr>
          <w:rFonts w:ascii="Microsoft YaHei" w:hAnsi="Microsoft YaHei" w:eastAsia="Microsoft YaHei"/>
          <w:b/>
          <w:i w:val="0"/>
          <w:color w:val="2E74B5"/>
          <w:sz w:val="21"/>
        </w:rPr>
        <w:t>二、角色证据：牛棚是校准环境，不是永久答案</w:t>
      </w:r>
    </w:p>
    <w:p>
      <w:pPr>
        <w:spacing w:before="0" w:after="80" w:line="240" w:lineRule="auto"/>
        <w:ind w:firstLine="340"/>
      </w:pPr>
      <w:r>
        <w:rPr>
          <w:rFonts w:ascii="Microsoft YaHei" w:hAnsi="Microsoft YaHei" w:eastAsia="Microsoft YaHei"/>
          <w:b w:val="0"/>
          <w:i w:val="0"/>
          <w:color w:val="172B3A"/>
          <w:sz w:val="17"/>
        </w:rPr>
        <w:t>15次先发的Zone%、首球好球率、Whiff%分别为43.4%、49.8%、31.6%；两次牛棚提高到46.1%、73.9%、40.0%。但牛棚只有89球、23打席，95%区间较宽；四缝线均速还从94.87略降至94.72 mph。面对打线第三轮的161球也没有球速下降。因此只能说短任务可能改善进区意愿，不能说后援角色已经产生确定因果提升。</w:t>
      </w:r>
    </w:p>
    <w:p>
      <w:pPr>
        <w:keepNext/>
        <w:spacing w:before="100" w:after="60"/>
      </w:pPr>
      <w:r>
        <w:rPr>
          <w:rFonts w:ascii="Microsoft YaHei" w:hAnsi="Microsoft YaHei" w:eastAsia="Microsoft YaHei"/>
          <w:b/>
          <w:i w:val="0"/>
          <w:color w:val="2E74B5"/>
          <w:sz w:val="21"/>
        </w:rPr>
        <w:t>三、执行路线与重返先发门槛</w:t>
      </w:r>
    </w:p>
    <w:tbl>
      <w:tblPr>
        <w:tblStyle w:val="TableGrid"/>
        <w:tblW w:type="dxa" w:w="908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1100"/>
        <w:gridCol w:w="2580"/>
        <w:gridCol w:w="2800"/>
        <w:gridCol w:w="2600"/>
      </w:tblGrid>
      <w:tr>
        <w:trPr>
          <w:tblHeader w:val="true"/>
        </w:trPr>
        <w:tc>
          <w:tcPr>
            <w:tcW w:type="dxa" w:w="11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7324D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5"/>
              </w:rPr>
              <w:t>阶段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7324D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5"/>
              </w:rPr>
              <w:t>安排</w:t>
            </w:r>
          </w:p>
        </w:tc>
        <w:tc>
          <w:tcPr>
            <w:tcW w:type="dxa" w:w="2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7324D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5"/>
              </w:rPr>
              <w:t>验收指标</w:t>
            </w:r>
          </w:p>
        </w:tc>
        <w:tc>
          <w:tcPr>
            <w:tcW w:type="dxa" w:w="26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7324D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5"/>
              </w:rPr>
              <w:t>不达标处理</w:t>
            </w:r>
          </w:p>
        </w:tc>
      </w:tr>
      <w:tr>
        <w:tc>
          <w:tcPr>
            <w:tcW w:type="dxa" w:w="1100"/>
            <w:shd w:fill="EEF3F8"/>
          </w:tcPr>
          <w:p>
            <w:pPr>
              <w:spacing w:after="0" w:line="228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72B3A"/>
                <w:sz w:val="14"/>
              </w:rPr>
              <w:t>A 校准</w:t>
              <w:br/>
              <w:t>3—4周</w:t>
            </w:r>
          </w:p>
        </w:tc>
        <w:tc>
          <w:tcPr>
            <w:tcW w:type="dxa" w:w="2580"/>
            <w:shd w:fill="EEF3F8"/>
          </w:tcPr>
          <w:p>
            <w:pPr>
              <w:spacing w:after="0" w:line="22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4"/>
              </w:rPr>
              <w:t>1—2局多局牛棚；固定节奏；四缝线进区、滑球chase区、变速球8—10 mph速度差。</w:t>
            </w:r>
          </w:p>
        </w:tc>
        <w:tc>
          <w:tcPr>
            <w:tcW w:type="dxa" w:w="2800"/>
            <w:shd w:fill="EEF3F8"/>
          </w:tcPr>
          <w:p>
            <w:pPr>
              <w:spacing w:after="0" w:line="22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4"/>
              </w:rPr>
              <w:t>变速球逐步到8%—12%，优先对左打；健康无复发。</w:t>
            </w:r>
          </w:p>
        </w:tc>
        <w:tc>
          <w:tcPr>
            <w:tcW w:type="dxa" w:w="2600"/>
            <w:shd w:fill="EEF3F8"/>
          </w:tcPr>
          <w:p>
            <w:pPr>
              <w:spacing w:after="0" w:line="22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4"/>
              </w:rPr>
              <w:t>维持低负荷，复查健康、动作与握法。</w:t>
            </w:r>
          </w:p>
        </w:tc>
      </w:tr>
      <w:tr>
        <w:tc>
          <w:tcPr>
            <w:tcW w:type="dxa" w:w="1100"/>
          </w:tcPr>
          <w:p>
            <w:pPr>
              <w:spacing w:after="0" w:line="228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72B3A"/>
                <w:sz w:val="14"/>
              </w:rPr>
              <w:t>B 过程</w:t>
              <w:br/>
              <w:t>≥60打席</w:t>
            </w:r>
          </w:p>
        </w:tc>
        <w:tc>
          <w:tcPr>
            <w:tcW w:type="dxa" w:w="2580"/>
          </w:tcPr>
          <w:p>
            <w:pPr>
              <w:spacing w:after="0" w:line="22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4"/>
              </w:rPr>
              <w:t>以过程而非短期ERA判断。</w:t>
            </w:r>
          </w:p>
        </w:tc>
        <w:tc>
          <w:tcPr>
            <w:tcW w:type="dxa" w:w="2800"/>
          </w:tcPr>
          <w:p>
            <w:pPr>
              <w:spacing w:after="0" w:line="22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4"/>
              </w:rPr>
              <w:t>Zone≥46%；首球好球≥60%；BB≤10%；变速球质量不同时恶化。</w:t>
            </w:r>
          </w:p>
        </w:tc>
        <w:tc>
          <w:tcPr>
            <w:tcW w:type="dxa" w:w="2600"/>
          </w:tcPr>
          <w:p>
            <w:pPr>
              <w:spacing w:after="0" w:line="22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4"/>
              </w:rPr>
              <w:t>任一核心指标持续未达，回A期。</w:t>
            </w:r>
          </w:p>
        </w:tc>
      </w:tr>
      <w:tr>
        <w:tc>
          <w:tcPr>
            <w:tcW w:type="dxa" w:w="1100"/>
            <w:shd w:fill="EEF3F8"/>
          </w:tcPr>
          <w:p>
            <w:pPr>
              <w:spacing w:after="0" w:line="228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72B3A"/>
                <w:sz w:val="14"/>
              </w:rPr>
              <w:t>C 负荷</w:t>
              <w:br/>
              <w:t>45→60→75球</w:t>
            </w:r>
          </w:p>
        </w:tc>
        <w:tc>
          <w:tcPr>
            <w:tcW w:type="dxa" w:w="2580"/>
            <w:shd w:fill="EEF3F8"/>
          </w:tcPr>
          <w:p>
            <w:pPr>
              <w:spacing w:after="0" w:line="22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4"/>
              </w:rPr>
              <w:t>每阶至少两次；比较前后半段执行。</w:t>
            </w:r>
          </w:p>
        </w:tc>
        <w:tc>
          <w:tcPr>
            <w:tcW w:type="dxa" w:w="2800"/>
            <w:shd w:fill="EEF3F8"/>
          </w:tcPr>
          <w:p>
            <w:pPr>
              <w:spacing w:after="0" w:line="22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4"/>
              </w:rPr>
              <w:t>后半段Zone与球速无明显下降；控球门槛继续成立。</w:t>
            </w:r>
          </w:p>
        </w:tc>
        <w:tc>
          <w:tcPr>
            <w:tcW w:type="dxa" w:w="2600"/>
            <w:shd w:fill="EEF3F8"/>
          </w:tcPr>
          <w:p>
            <w:pPr>
              <w:spacing w:after="0" w:line="22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4"/>
              </w:rPr>
              <w:t>BB&gt;12%、疲劳或动作退化，退一阶。</w:t>
            </w:r>
          </w:p>
        </w:tc>
      </w:tr>
      <w:tr>
        <w:tc>
          <w:tcPr>
            <w:tcW w:type="dxa" w:w="1100"/>
          </w:tcPr>
          <w:p>
            <w:pPr>
              <w:spacing w:after="0" w:line="228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72B3A"/>
                <w:sz w:val="14"/>
              </w:rPr>
              <w:t>D 角色</w:t>
            </w:r>
          </w:p>
        </w:tc>
        <w:tc>
          <w:tcPr>
            <w:tcW w:type="dxa" w:w="2580"/>
          </w:tcPr>
          <w:p>
            <w:pPr>
              <w:spacing w:after="0" w:line="22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4"/>
              </w:rPr>
              <w:t>达标则回传统先发；扩大样本后再判断轮次效应。</w:t>
            </w:r>
          </w:p>
        </w:tc>
        <w:tc>
          <w:tcPr>
            <w:tcW w:type="dxa" w:w="2800"/>
          </w:tcPr>
          <w:p>
            <w:pPr>
              <w:spacing w:after="0" w:line="22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4"/>
              </w:rPr>
              <w:t>60—75球健康且稳定。</w:t>
            </w:r>
          </w:p>
        </w:tc>
        <w:tc>
          <w:tcPr>
            <w:tcW w:type="dxa" w:w="2600"/>
          </w:tcPr>
          <w:p>
            <w:pPr>
              <w:spacing w:after="0" w:line="22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4"/>
              </w:rPr>
              <w:t>若只在前两轮稳定，用一次打线+或短先发。</w:t>
            </w:r>
          </w:p>
        </w:tc>
      </w:tr>
    </w:tbl>
    <w:p>
      <w:pPr>
        <w:spacing w:before="40" w:after="60" w:line="240" w:lineRule="auto"/>
      </w:pPr>
      <w:r>
        <w:rPr>
          <w:rFonts w:ascii="Microsoft YaHei" w:hAnsi="Microsoft YaHei" w:eastAsia="Microsoft YaHei"/>
          <w:b w:val="0"/>
          <w:i w:val="0"/>
          <w:color w:val="617A95"/>
          <w:sz w:val="14"/>
        </w:rPr>
        <w:t>注：门槛是基于MLB平均、今井NPB基准和牛棚初始信号制定的决策规则，不是由23个牛棚打席估出的能力真值。</w:t>
      </w:r>
    </w:p>
    <w:p>
      <w:pPr>
        <w:keepNext/>
        <w:spacing w:before="100" w:after="60"/>
      </w:pPr>
      <w:r>
        <w:rPr>
          <w:rFonts w:ascii="Microsoft YaHei" w:hAnsi="Microsoft YaHei" w:eastAsia="Microsoft YaHei"/>
          <w:b/>
          <w:i w:val="0"/>
          <w:color w:val="2E74B5"/>
          <w:sz w:val="21"/>
        </w:rPr>
        <w:t>四、结论、限制与证据边界</w:t>
      </w:r>
    </w:p>
    <w:p>
      <w:pPr>
        <w:spacing w:after="60" w:line="240" w:lineRule="auto"/>
      </w:pPr>
      <w:r>
        <w:rPr>
          <w:rFonts w:ascii="Microsoft YaHei" w:hAnsi="Microsoft YaHei" w:eastAsia="Microsoft YaHei"/>
          <w:b/>
          <w:i w:val="0"/>
          <w:color w:val="172B3A"/>
          <w:sz w:val="17"/>
        </w:rPr>
        <w:t>最终判断：</w:t>
      </w:r>
      <w:r>
        <w:rPr>
          <w:rFonts w:ascii="Microsoft YaHei" w:hAnsi="Microsoft YaHei" w:eastAsia="Microsoft YaHei"/>
          <w:b w:val="0"/>
          <w:i w:val="0"/>
          <w:color w:val="172B3A"/>
          <w:sz w:val="17"/>
        </w:rPr>
        <w:t>今井的竞争优势仍在；球队要修复的不是上限，而是把高质量滑球、可用四缝线和曾经成熟的变速球重新组织成能稳定抢好球、尤其能处理左打者的先发方案。</w:t>
      </w:r>
    </w:p>
    <w:p>
      <w:pPr>
        <w:spacing w:before="0" w:after="60" w:line="240" w:lineRule="auto"/>
      </w:pPr>
      <w:r>
        <w:rPr>
          <w:rFonts w:ascii="Microsoft YaHei" w:hAnsi="Microsoft YaHei" w:eastAsia="Microsoft YaHei"/>
          <w:b w:val="0"/>
          <w:i w:val="0"/>
          <w:color w:val="172B3A"/>
          <w:sz w:val="16"/>
        </w:rPr>
        <w:t>限制：NPB与MLB的用球、球场、打者与追踪模型不同；2026右臂疲劳与角色变化混杂时间趋势；变速球MLB仅29球、牛棚仅23打席；所有分组均为观察性描述。任何伤情复发都应优先于表现门槛。</w:t>
      </w:r>
    </w:p>
    <w:p>
      <w:pPr>
        <w:spacing w:before="40" w:after="60" w:line="240" w:lineRule="auto"/>
      </w:pPr>
      <w:r>
        <w:rPr>
          <w:rFonts w:ascii="Microsoft YaHei" w:hAnsi="Microsoft YaHei" w:eastAsia="Microsoft YaHei"/>
          <w:b w:val="0"/>
          <w:i w:val="0"/>
          <w:color w:val="617A95"/>
          <w:sz w:val="14"/>
        </w:rPr>
        <w:t>数据来源：[1] MLB StatsAPI；[2] Baseball Savant Statcast/Expected Statistics/Pitch Arsenal；[3] NPB官方；[4] NPB Basement；[5] MLB.com 2026-05-31；[6] MLB.com 2026-07-31。完整URL、原始快照、SHA-256、计算与AI记录见配套底稿。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22" w:right="879" w:bottom="794" w:left="879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i w:val="0"/>
        <w:color w:val="617A95"/>
        <w:sz w:val="15"/>
      </w:rPr>
      <w:t xml:space="preserve">第 </w:t>
    </w:r>
    <w:fldSimple w:instr="PAGE"/>
    <w:r>
      <w:rPr>
        <w:rFonts w:ascii="Microsoft YaHei" w:hAnsi="Microsoft YaHei" w:eastAsia="Microsoft YaHei"/>
        <w:b w:val="0"/>
        <w:i w:val="0"/>
        <w:color w:val="617A95"/>
        <w:sz w:val="15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Microsoft YaHei" w:hAnsi="Microsoft YaHei" w:eastAsia="Microsoft YaHei"/>
        <w:b/>
        <w:i w:val="0"/>
        <w:color w:val="617A95"/>
        <w:sz w:val="15"/>
      </w:rPr>
      <w:t>MLB 数据分析课程｜正式文稿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Microsoft YaHei" w:hAnsi="Microsoft YaHei" w:eastAsia="Microsoft YaHei"/>
      <w:b w:val="0"/>
      <w:color w:val="172B3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今井达也应如何重返MLB先发轮值？</dc:title>
  <dc:subject>MLB数据分析课程正式文稿</dc:subject>
  <dc:creator>杨炎新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