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5573" w14:textId="77777777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第4周实习记录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 w14:paraId="39983035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802E7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447DD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5AB0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DDDF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 w14:paraId="16E9652A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E2A0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E76E0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35BA5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FB4D6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第4周：决策交付与暑研答辩</w:t>
            </w:r>
          </w:p>
        </w:tc>
      </w:tr>
    </w:tbl>
    <w:p w14:paraId="46D7D5CC" w14:textId="77777777" w:rsidR="00A9137F" w:rsidRPr="00E23CC7" w:rsidRDefault="00000000">
      <w:pPr>
        <w:pStyle w:val="1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sz w:val="24"/>
          <w:lang w:eastAsia="zh-CN"/>
        </w:rPr>
        <w:t>一、阶段主要任务</w:t>
      </w:r>
    </w:p>
    <w:p w14:paraId="6131D4E4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最后一周，我没有继续增加新的分析维度，而是把前三周的结果收拢成一套能够执行和复查的方案。本周依次重核关键数字与反例，确定训练顺序、观察门槛和角色分支，再整理两页汇总、底稿和仓库。最后确认：今井的K%仍为27.8%、Whiff%为32.3%，四缝线均速约94.9 mph；更明显的问题是BB%由7.0%升至14.6%，Zone%为43.6%，首球好球率为51.7%。</w:t>
      </w:r>
    </w:p>
    <w:p w14:paraId="4FC10A3D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球种方面，四缝线和滑球合计占88.9%，但滑球仍有正向价值，不能机械减量。NPB 2025变速球使用率为12.7%，到MLB标签中降至2.3%，速度差也由约10.1 mph缩小到8.0 mph。结合第三周对标签口径和小样本的检查，我把它写成“恢复并验证历史球形”，而不是认定只要增加变速球就能解决问题。</w:t>
      </w:r>
    </w:p>
    <w:p w14:paraId="3BB2B714" w14:textId="77777777" w:rsidR="00A9137F" w:rsidRPr="00E23CC7" w:rsidRDefault="00000000">
      <w:pPr>
        <w:pStyle w:val="1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sz w:val="24"/>
          <w:lang w:eastAsia="zh-CN"/>
        </w:rPr>
        <w:t>二、把判断改成执行方案</w:t>
      </w:r>
    </w:p>
    <w:p w14:paraId="522649D7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我起初想直接回答“继续先发还是转入牛棚”，但两次牛棚登板只有23个打席，不能据此确定长期角色。因此，我把牛棚定位为短期校准环境，而不是最终结论。校准期暂定3—4周，每次承担1—2局，重点练习四缝线进区重复性、滑球追打区域，以及变速球形与速度分层。变速球先在确认球形后逐步试到8%—12%，速度差以约8 mph为底线并向9—10 mph恢复；出现右臂疲劳或动作异常即停止加量。</w:t>
      </w:r>
    </w:p>
    <w:p w14:paraId="21EB9333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先至少积累60个打席，此后用滚动最近60个打席检查：Zone%不低于46%、首球好球率不低于60%、BB%不高于10%。10%&lt;BB%≤12%时维持负荷，BB%&gt;12%或进区和首球持续未达时回到校准。全部达标后按45、60、75球逐级增加，每级至少两次。60—75球阶段仍健康、过程稳定时回到传统先发；若扩大样本后只在第三轮持续失效，再考虑短先发或跟随投手。这些数值是统一观察尺度的管理规则，不是23个牛棚打席拟合出的最优答案。</w:t>
      </w:r>
    </w:p>
    <w:p w14:paraId="657ADA0D" w14:textId="77777777" w:rsidR="00A9137F" w:rsidRPr="00E23CC7" w:rsidRDefault="00000000">
      <w:pPr>
        <w:pStyle w:val="1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sz w:val="24"/>
          <w:lang w:eastAsia="zh-CN"/>
        </w:rPr>
        <w:t>三、提交材料与复核</w:t>
      </w:r>
    </w:p>
    <w:p w14:paraId="350C0C59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数据截至8月12日，共17场比赛、288个打席。</w:t>
      </w:r>
      <w:proofErr w:type="spellStart"/>
      <w:r>
        <w:rPr>
          <w:rFonts w:ascii="仿宋_GB2312" w:eastAsia="仿宋_GB2312" w:hAnsi="仿宋_GB2312"/>
          <w:color w:val="000000"/>
          <w:sz w:val="24"/>
          <w:lang w:eastAsia="zh-CN"/>
        </w:rPr>
        <w:t>Statcast</w:t>
      </w:r>
      <w:proofErr w:type="spellEnd"/>
      <w:r>
        <w:rPr>
          <w:rFonts w:ascii="仿宋_GB2312" w:eastAsia="仿宋_GB2312" w:hAnsi="仿宋_GB2312"/>
          <w:color w:val="000000"/>
          <w:sz w:val="24"/>
          <w:lang w:eastAsia="zh-CN"/>
        </w:rPr>
        <w:t>原始文件有1,241行，其中1行自动坏球没有球种标签，所以球种分析使用1,240个带标签投球。提交前，</w:t>
      </w:r>
      <w:r>
        <w:rPr>
          <w:rFonts w:ascii="仿宋_GB2312" w:eastAsia="仿宋_GB2312" w:hAnsi="仿宋_GB2312"/>
          <w:color w:val="000000"/>
          <w:sz w:val="24"/>
          <w:lang w:eastAsia="zh-CN"/>
        </w:rPr>
        <w:lastRenderedPageBreak/>
        <w:t>我重核1,240个投球、80次三振、42次保送和17场比赛，四项与官方记录的差值均为0；同时复算17份原始文件的SHA-256，确保报告数字能追溯到冻结版本。</w:t>
      </w:r>
    </w:p>
    <w:p w14:paraId="2A429431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本周完成两页决策汇总、完整分析底稿、数据来源与指标口径说明、分析迭代记录和复现核查说明。两页版只保留结论、证据、执行门槛与限制，详细分母、置信区间、反例和运行方法放入底稿。MLB-Analytics仓库按原始数据、处理数据、研究记录、脚本、报告和质量检查分层；我最后逐项核对正文、图表和处理表，确认关键数字都能由代码复算。</w:t>
      </w:r>
    </w:p>
    <w:p w14:paraId="573BD7D1" w14:textId="77777777" w:rsidR="00A9137F" w:rsidRPr="00E23CC7" w:rsidRDefault="00000000">
      <w:pPr>
        <w:pStyle w:val="1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sz w:val="24"/>
          <w:lang w:eastAsia="zh-CN"/>
        </w:rPr>
        <w:t>四、港科大暑研：完成实验与答辩</w:t>
      </w:r>
    </w:p>
    <w:p w14:paraId="2DD359B9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</w:rPr>
        <w:t>港科大IEDA暑研本周完成Synthetic-oracle机制实验。我在HKUST HPC4上固定三组随机种子和八条policy pipeline，并把训练与评价分开：每条policy在512个held-out prompts上重新生成6条回答，三组种子共得到73,728条fresh rollout记录。三种子均值中，O-Pro和H-Pro分别在对应信号组内取得最高policy utility；O-Pro的NLL和MSE并非组内最好，但局部regret最低，符合“偏好拟合排序与下游效用排序可能分离”的研究直觉。</w:t>
      </w:r>
    </w:p>
    <w:p w14:paraId="2025DE28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 xml:space="preserve">我没有把结果写得过满。不同种子仍有波动，实验采用冻结表示层、线性reward head、rank-4 </w:t>
      </w:r>
      <w:proofErr w:type="spellStart"/>
      <w:r>
        <w:rPr>
          <w:rFonts w:ascii="仿宋_GB2312" w:eastAsia="仿宋_GB2312" w:hAnsi="仿宋_GB2312"/>
          <w:color w:val="000000"/>
          <w:sz w:val="24"/>
          <w:lang w:eastAsia="zh-CN"/>
        </w:rPr>
        <w:t>LoRA</w:t>
      </w:r>
      <w:proofErr w:type="spellEnd"/>
      <w:r>
        <w:rPr>
          <w:rFonts w:ascii="仿宋_GB2312" w:eastAsia="仿宋_GB2312" w:hAnsi="仿宋_GB2312"/>
          <w:color w:val="000000"/>
          <w:sz w:val="24"/>
          <w:lang w:eastAsia="zh-CN"/>
        </w:rPr>
        <w:t>和单步更新，因此验证的是方法机制，不能直接推广到真人偏好或所有大模型。阶段末，我完成实验汇总、最终汇报和答辩，并提交《Prospective Reward Modeling》第一阶段报告。理论推导、HPC4实验、结果整理和答辩均已完成；真人偏好、更大模型与多轮优化属于后续扩展。</w:t>
      </w:r>
    </w:p>
    <w:p w14:paraId="67C8771A" w14:textId="77777777" w:rsidR="00A9137F" w:rsidRPr="00E23CC7" w:rsidRDefault="00000000">
      <w:pPr>
        <w:pStyle w:val="1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sz w:val="24"/>
          <w:lang w:eastAsia="zh-CN"/>
        </w:rPr>
        <w:t>五、阶段产出与总结</w:t>
      </w:r>
    </w:p>
    <w:p w14:paraId="108E00BB" w14:textId="77777777" w:rsidR="00A9137F" w:rsidRPr="00E23CC7" w:rsidRDefault="00000000">
      <w:pPr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这四周让我认识到，分析的价值不只是得到一个数，还要说明数字从哪里来、什么证据支持判断、什么情况会推翻判断，以及下一步如何行动。棒球项目训练了我在不完整公开数据下作出克制决策；港科暑研则把同一思路推进到理论和计算实验。</w:t>
      </w:r>
      <w:proofErr w:type="spellStart"/>
      <w:r>
        <w:rPr>
          <w:rFonts w:ascii="仿宋_GB2312" w:eastAsia="仿宋_GB2312" w:hAnsi="仿宋_GB2312"/>
          <w:color w:val="000000"/>
          <w:sz w:val="24"/>
        </w:rPr>
        <w:t>两项任务均已按本阶段范围完成</w:t>
      </w:r>
      <w:proofErr w:type="spellEnd"/>
      <w:r>
        <w:rPr>
          <w:rFonts w:ascii="仿宋_GB2312" w:eastAsia="仿宋_GB2312" w:hAnsi="仿宋_GB2312"/>
          <w:color w:val="000000"/>
          <w:sz w:val="24"/>
        </w:rPr>
        <w:t>。</w:t>
      </w:r>
    </w:p>
    <w:p w14:paraId="32BEC912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完成今井达也MLB调整方案、两页汇总、完整底稿和可复现项目仓库。</w:t>
      </w:r>
    </w:p>
    <w:p w14:paraId="5C3487C9" w14:textId="77777777" w:rsidR="00736B57" w:rsidRDefault="00000000">
      <w:pPr>
        <w:pStyle w:val="a0"/>
        <w:spacing w:after="30" w:line="307" w:lineRule="auto"/>
        <w:ind w:left="425" w:hanging="198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固定观察门槛、负荷阶梯与退回条件，并保留小样本和跨联盟比较的限制。</w:t>
      </w:r>
    </w:p>
    <w:p w14:paraId="664A1876" w14:textId="77777777" w:rsidR="00736B57" w:rsidRDefault="00000000">
      <w:pPr>
        <w:pStyle w:val="a0"/>
        <w:spacing w:after="30" w:line="307" w:lineRule="auto"/>
        <w:ind w:left="425" w:hanging="198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完成港科暑研三随机种子实验、73,728条fresh rollout汇总、最终汇报与答辩。</w:t>
      </w:r>
    </w:p>
    <w:p w14:paraId="43995D07" w14:textId="77777777" w:rsidR="00736B57" w:rsidRDefault="00000000">
      <w:pPr>
        <w:pStyle w:val="a0"/>
        <w:spacing w:after="30" w:line="307" w:lineRule="auto"/>
        <w:ind w:left="425" w:hanging="198"/>
        <w:rPr>
          <w:rFonts w:ascii="仿宋_GB2312" w:eastAsia="仿宋_GB2312"/>
          <w:sz w:val="24"/>
          <w:szCs w:val="24"/>
          <w:lang w:eastAsia="zh-CN"/>
        </w:rPr>
      </w:pPr>
      <w:r>
        <w:rPr>
          <w:rFonts w:ascii="仿宋_GB2312" w:eastAsia="仿宋_GB2312" w:hAnsi="仿宋_GB2312"/>
          <w:color w:val="000000"/>
          <w:sz w:val="24"/>
          <w:lang w:eastAsia="zh-CN"/>
        </w:rPr>
        <w:t>确认课程数据分析项目和港科暑研本阶段均已完整完成；后续工作另作扩展。</w:t>
      </w:r>
    </w:p>
    <w:sectPr w:rsidR="00736B5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15072" w14:textId="77777777" w:rsidR="00C0484F" w:rsidRDefault="00C0484F">
      <w:pPr>
        <w:spacing w:line="240" w:lineRule="auto"/>
      </w:pPr>
      <w:r>
        <w:separator/>
      </w:r>
    </w:p>
  </w:endnote>
  <w:endnote w:type="continuationSeparator" w:id="0">
    <w:p w14:paraId="3B2998C5" w14:textId="77777777" w:rsidR="00C0484F" w:rsidRDefault="00C048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5A41B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16F79" w14:textId="77777777" w:rsidR="00C0484F" w:rsidRDefault="00C0484F">
      <w:pPr>
        <w:spacing w:line="240" w:lineRule="auto"/>
      </w:pPr>
      <w:r>
        <w:separator/>
      </w:r>
    </w:p>
  </w:footnote>
  <w:footnote w:type="continuationSeparator" w:id="0">
    <w:p w14:paraId="2C5D85E2" w14:textId="77777777" w:rsidR="00C0484F" w:rsidRDefault="00C048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42D"/>
    <w:rsid w:val="002347DF"/>
    <w:rsid w:val="0029639D"/>
    <w:rsid w:val="00326F90"/>
    <w:rsid w:val="00480242"/>
    <w:rsid w:val="004A77C9"/>
    <w:rsid w:val="00736B57"/>
    <w:rsid w:val="008F39E0"/>
    <w:rsid w:val="00A9137F"/>
    <w:rsid w:val="00AA1D8D"/>
    <w:rsid w:val="00B47730"/>
    <w:rsid w:val="00B85674"/>
    <w:rsid w:val="00C0484F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BC6F98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847</Words>
  <Characters>1069</Characters>
  <Application>Microsoft Office Word</Application>
  <DocSecurity>0</DocSecurity>
  <Lines>56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第4周实习记录</dc:title>
  <dc:subject>本科生短学期每周实习记录</dc:subject>
  <dc:creator>杨炎新</dc:creator>
  <cp:keywords/>
  <dc:description/>
  <cp:lastModifiedBy>Flower Young</cp:lastModifiedBy>
  <cp:revision>5</cp:revision>
  <dcterms:created xsi:type="dcterms:W3CDTF">2026-08-20T05:00:00Z</dcterms:created>
  <dcterms:modified xsi:type="dcterms:W3CDTF">2026-08-25T07:16:00Z</dcterms:modified>
  <cp:category/>
  <dc:identifier/>
  <dc:language>zh-CN</dc:language>
  <cp:version>1.0</cp:version>
</cp:coreProperties>
</file>