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6"/>
        </w:rPr>
        <w:t>今井达也MLB调整与角色复位建议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完整分析底稿：证据、边界、反证与执行门槛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杨炎新（3230102355）　｜　数据冻结日：2026年8月12日　｜　分析版本：9c8033d</w:t>
      </w:r>
    </w:p>
    <w:p>
      <w:pPr>
        <w:pStyle w:val="Heading1"/>
      </w:pPr>
      <w:r>
        <w:t>摘要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稿回答的管理问题是“今井达也在MLB下一阶段该如何调整，何时恢复先发负荷”。分析不以ERA单项结果倒推能力，而把问题拆成三振与挥空、控球、球种结构、打者侧别和角色负荷五条可检验路径。主样本为2026年3月29日至8月12日的17场MLB比赛、288个打席和1,240个带球种标签的Statcast投球；NPB数据只用于职业历史与球种结构参照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本窗口内，K%、Whiff%和四缝线均速未整体下降；更突出的变化是BB%由7.0%升至14.6%，且Zone%与首球好球率偏低。滑球仍是当前证据最稳的核心球种。NPB 2025同名变速球标签的使用率为12.7%，MLB降至2.3%，速度差也由10.1缩至8.0 mph；但MLB只有29球，恢复使用只能作为待验证方案。四缝线对左、右打的样本内结果方向相反，应先核对对左打方案。两次牛棚过程指标向好，却只有23个打席，不能判断永久后援更优。建议把多局牛棚作为3—4周可逆校准期：先完成至少60个打席，再按滚动60个打席门槛和45→60→75球负荷阶梯决定重返先发时点。</w:t>
      </w:r>
    </w:p>
    <w:p>
      <w:pPr>
        <w:pStyle w:val="Heading1"/>
      </w:pPr>
      <w:r>
        <w:t>一、研究问题与判断框架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冻结窗口内，今井ERA为5.29，xERA为4.89。单看结果，可以得到很多互相竞争的解释：球威不适应MLB、控球回退、二球种依赖、第三次面对打线疲劳，或者转牛棚更合适。若只比较赛季总表，这些解释都能找到支持，却无法告诉球队下一步先做什么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研究因此把原始问题改写为四个决策问题：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当前困难的首要来源是球威、控制、配球结构还是先发负荷？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哪些调整应针对左、右打者和不同球数情境？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牛棚应被视为长期角色，还是用于重新校准的过渡环境？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球队应依据哪些可观察条件提高先发负荷？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在分组分析前，先记录五项假设。H1：K%、Whiff%和四缝线均速不会同时下滑；H2：Zone%、首球好球率和BB%是主要损失来源；H3：四缝线与滑球的集中使用在侧别上存在不对称；H4：缩短任务可能改善执行，但牛棚小样本只能提供阶段证据；H5：第三球种要同时看NPB历史使用、速度分层、标签口径和打者侧别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每项假设都保留相反条件。如果K%、Whiff和四缝线球速同步下降，H1应被推翻；如果牛棚置信区间很宽，就不能从两次登板推导角色因果；如果第三轮球速和结果没有恶化，则不采用“第三轮必然崩盘”的预设叙事。</w:t>
      </w:r>
    </w:p>
    <w:p>
      <w:pPr>
        <w:pStyle w:val="Heading1"/>
      </w:pPr>
      <w:r>
        <w:t>二、数据与方法</w:t>
      </w:r>
    </w:p>
    <w:p>
      <w:pPr>
        <w:pStyle w:val="Heading2"/>
      </w:pPr>
      <w:r>
        <w:t>2.1 数据来源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MLB StatsAPI用于比赛日志、先发/牛棚角色、局数、三振和保送核对。Baseball Savant Statcast Search提供逐球球种、位置、球数、挥棒和结果；Expected Statistics与Pitch Arsenal分别用于核对xERA、球种使用率、Whiff、wOBA/xwOBA和官方Run Value。两篇MLB.com报道只确认伤情与转牛棚的时间背景，不作为效果证据。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NPB官方球员页用于核对2018—2025年的传统统计，第三方网站NPB Basement提供2023—2025年的高级投球与球种数据。跨联盟比较只回答“同名球种标签是否长期使用”“使用率与速度层是否发生结构变化”。NPB与MLB的球种标签不保证一一对应，MLB还单列指叉球和伸卡球，因此不把NPB xPV/100与MLB Run Value/100直接相减，也不把标签变化直接写成真实弃投。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330"/>
        <w:gridCol w:w="2540"/>
        <w:gridCol w:w="2540"/>
        <w:gridCol w:w="2662"/>
      </w:tblGrid>
      <w:tr>
        <w:trPr>
          <w:tblHeader w:val="true"/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来源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主要字段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分析用途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使用限制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 StatsAPI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场次、角色、局数、K、BB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官方结果闭合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不含完整逐球位置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Savant逐球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球种、坐标、球数、挥棒、结果、逐球RV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逐球与球种分层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自动事件、小样本需核对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Savant赛季汇总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xERA、球种使用、Whiff、wOBA/xwOBA、官方RV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结果与官方口径核对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赛季汇总不替代逐球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NPB官方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赛季传统统计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职业基准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粒度较低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 Basement（第三方）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高级指标、球种、球速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判断历史成熟度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非官方；与MLB价值模型不同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MLB.com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伤情、角色背景</w:t>
            </w:r>
          </w:p>
        </w:tc>
        <w:tc>
          <w:tcPr>
            <w:tcW w:type="dxa" w:w="25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确认分析语境</w:t>
            </w:r>
          </w:p>
        </w:tc>
        <w:tc>
          <w:tcPr>
            <w:tcW w:type="dxa" w:w="266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不作数值证据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2"/>
      </w:pPr>
      <w:r>
        <w:t>2.2 数据冻结与清洗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17份原始文件均保存在data/raw，并记录URL、下载时间、字节数和SHA-256；清洗结果写入data/processed。默认分析不重新访问动态网页，保证同一结论对应同一批数据。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Statcast原文件有1,241行，其中一条自动坏球事件没有球种标签。原始行保留，球种分析使用其余1,240行。三振、保送、比赛数和角色继续以StatsAPI为基准。逐球数1,240、三振80、保送42、比赛17四项均与官方参考一致，差值为0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分析单位分成比赛、打席与逐球。17场比赛用于角色和局数，288个打席用于K%、BB%与角色比较，1,240个投球用于球种、球数、侧别和挥棒。不同层次不相互替代。</w:t>
      </w:r>
    </w:p>
    <w:p>
      <w:pPr>
        <w:pStyle w:val="Heading2"/>
      </w:pPr>
      <w:r>
        <w:t>2.3 指标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K%=三振/打席，BB%=保送/打席，K-BB%=K%−BB%。Zone%按Statcast的zone字段1—9判定；首球好球率以每个打席第一球为单位；Whiff%采用仓库与Savant导出一致的事件集合除以挥棒；Chase%=好球区外挥棒/有效区外投球。球种Run Value采用投手视角，正值有利；RV/100只在相同环境和口径内比较。完整事件集合与字段规则见底稿02。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角色由比赛日志的starter标记确定。面对打线轮次直接使用Statcast字段n_thruorder_pitcher，只用于描述。先发与牛棚的Zone、首球、Whiff和Chase比例均报告Wilson 95%区间；MLB变速球只有29球、8次挥棒，相关结果只列原始计数，不作稳定比例估计。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330"/>
        <w:gridCol w:w="1209"/>
        <w:gridCol w:w="1209"/>
        <w:gridCol w:w="2661"/>
        <w:gridCol w:w="2663"/>
      </w:tblGrid>
      <w:tr>
        <w:trPr>
          <w:tblHeader w:val="true"/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分子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分母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冻结结果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主要输出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80次三振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288打席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27.8%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BB%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42次保送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288打席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14.6%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zone为1—9的541球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1,240球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43.6%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Whiff%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175次逐球定义下的挥空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542次挥棒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32.3%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mlb_pitch_type_summary.csv及汇总</w:t>
            </w:r>
          </w:p>
        </w:tc>
      </w:tr>
      <w:tr>
        <w:trPr>
          <w:cantSplit/>
        </w:trPr>
        <w:tc>
          <w:tcPr>
            <w:tcW w:type="dxa" w:w="133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首球好球率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149个好球</w:t>
            </w:r>
          </w:p>
        </w:tc>
        <w:tc>
          <w:tcPr>
            <w:tcW w:type="dxa" w:w="120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288个打席首球</w:t>
            </w:r>
          </w:p>
        </w:tc>
        <w:tc>
          <w:tcPr>
            <w:tcW w:type="dxa" w:w="266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51.7%</w:t>
            </w:r>
          </w:p>
        </w:tc>
        <w:tc>
          <w:tcPr>
            <w:tcW w:type="dxa" w:w="266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2"/>
      </w:pPr>
      <w:r>
        <w:t>2.4 证据强度与可回答范围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838"/>
        <w:gridCol w:w="1225"/>
        <w:gridCol w:w="2942"/>
        <w:gridCol w:w="3067"/>
      </w:tblGrid>
      <w:tr>
        <w:trPr>
          <w:tblHeader w:val="true"/>
          <w:cantSplit/>
        </w:trPr>
        <w:tc>
          <w:tcPr>
            <w:tcW w:type="dxa" w:w="1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判断</w:t>
            </w:r>
          </w:p>
        </w:tc>
        <w:tc>
          <w:tcPr>
            <w:tcW w:type="dxa" w:w="12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证据强度</w:t>
            </w:r>
          </w:p>
        </w:tc>
        <w:tc>
          <w:tcPr>
            <w:tcW w:type="dxa" w:w="29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现有证据能支持</w:t>
            </w:r>
          </w:p>
        </w:tc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现有证据不能支持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控球优先于增速</w:t>
            </w:r>
          </w:p>
        </w:tc>
        <w:tc>
          <w:tcPr>
            <w:tcW w:type="dxa" w:w="12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较强（描述性）</w:t>
            </w:r>
          </w:p>
        </w:tc>
        <w:tc>
          <w:tcPr>
            <w:tcW w:type="dxa" w:w="29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288打席下BB%、Zone%与首球好球率异常更突出</w:t>
            </w:r>
          </w:p>
        </w:tc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保送上升的动作或健康原因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对左打优先核查</w:t>
            </w:r>
          </w:p>
        </w:tc>
        <w:tc>
          <w:tcPr>
            <w:tcW w:type="dxa" w:w="12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中等</w:t>
            </w:r>
          </w:p>
        </w:tc>
        <w:tc>
          <w:tcPr>
            <w:tcW w:type="dxa" w:w="29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四缝线对左、右打的样本内方向相反</w:t>
            </w:r>
          </w:p>
        </w:tc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侧别本身造成结果差异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恢复变速球</w:t>
            </w:r>
          </w:p>
        </w:tc>
        <w:tc>
          <w:tcPr>
            <w:tcW w:type="dxa" w:w="12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中等偏弱</w:t>
            </w:r>
          </w:p>
        </w:tc>
        <w:tc>
          <w:tcPr>
            <w:tcW w:type="dxa" w:w="29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NPB历史使用与MLB使用/速度差变化值得前瞻试验</w:t>
            </w:r>
          </w:p>
        </w:tc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29球足以证明球种质量或最优使用率</w:t>
            </w:r>
          </w:p>
        </w:tc>
      </w:tr>
      <w:tr>
        <w:trPr>
          <w:cantSplit/>
        </w:trPr>
        <w:tc>
          <w:tcPr>
            <w:tcW w:type="dxa" w:w="183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牛棚作为校准期</w:t>
            </w:r>
          </w:p>
        </w:tc>
        <w:tc>
          <w:tcPr>
            <w:tcW w:type="dxa" w:w="122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较弱</w:t>
            </w:r>
          </w:p>
        </w:tc>
        <w:tc>
          <w:tcPr>
            <w:tcW w:type="dxa" w:w="294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23打席的过程指标允许继续观察</w:t>
            </w:r>
          </w:p>
        </w:tc>
        <w:tc>
          <w:tcPr>
            <w:tcW w:type="dxa" w:w="306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牛棚角色导致改善或永久后援更优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三、分析结果</w:t>
      </w:r>
    </w:p>
    <w:p>
      <w:pPr>
        <w:pStyle w:val="Heading2"/>
      </w:pPr>
      <w:r>
        <w:t>3.1 三振、挥空与四缝线球速未整体下滑，控球成为第一瓶颈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今井MLB K%为27.8%，数值上与NPB 2025相同；Whiff%为32.3%，高于Savant同页25.0%的MLB平均。四缝线均速94.86 mph，与NPB 2025的94.87 mph近乎一致。跨联盟环境不同，不能据此断言能力完全相同；但这三项至少不支持“三振、挥空和四缝线球速同步衰退”。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幅度最大的变化在保送。BB%从7.0%升到14.6%，K-BB%由20.7%降到13.2%；Zone%为43.6%，首球好球率51.7%，低于同页MLB平均。Chase%为27.2%，接近平均，说明打者没有因为异常追坏球而替今井扩大好球区。今井仍能制造挥空，却更难在打席早期取得优势，深球数与免费上垒随之增加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下一阶段应先检查可控进区，而不是继续追求额外球速。公开数据只能指出首球、进区和滑球坏球质量需要复核；具体位置目标必须由投手教练结合捕手设定、球路移动和意图数据确定。Zone%不能代替位置质量，但在当前保送规模下，球数控制比增加强度更急迫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3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exec_decision_sign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3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图1  决策信号与证据边界</w:t>
      </w:r>
    </w:p>
    <w:p>
      <w:pPr>
        <w:pStyle w:val="Heading2"/>
      </w:pPr>
      <w:r>
        <w:t>3.2 球种集中加剧，变速球使用显著减少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MLB中滑球使用45.3%，四缝线43.5%，合计88.9%。滑球Whiff为40.6%、xwOBA为.274、官方Run Value为+4，属于可以继续围绕的核心武器。四缝线整体Run Value为−1，需要调整，但不能只凭总值全面弃用。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NPB 2025同名变速球标签使用12.7%、Whiff 41.6%、xPV/100为+1.03，说明它在NPB数据中不是偶尔试投。到MLB后，CH标签只记录29球，使用率为2.3%。均速由84.7 mph升到86.8 mph，而四缝线仍约94.9 mph，两者速度差从10.1 mph缩到8.0 mph。由于跨联盟标签可能存在映射差异，这是一条需要投教和追踪数据核对的结构信号。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为检查“只是标签迁移”的替代解释，又把两套公开数据中的CH与FS相关低速标签合并核对：NPB 2025合计17.0%，MLB 2026合计5.7%。合并后下降方向仍在，但这种分组仍不能确认握法、移动或投球意图相同；较稳妥的说法是低速非滑球层在公开标签中的占比收缩，而不是“变速球已经消失”。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29球的MLB Whiff和接触结果不能外推；62.5%的Whiff只来自8次挥棒中的5次。较稳妥的判断是：使用率下降、速度层收窄，且值得前瞻验证。问题因此从“开发一个第三球种”修正为“验证是否能恢复NPB时期的变速球功能”。握法、释放、位移和球路衔接由教练组补测；若在可控环境中提高使用率，应同步观察速度差、落点、移动与接触质量。</w:t>
      </w:r>
    </w:p>
    <w:p>
      <w:r>
        <w:br w:type="page"/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744"/>
        <w:gridCol w:w="1628"/>
        <w:gridCol w:w="1628"/>
        <w:gridCol w:w="1744"/>
        <w:gridCol w:w="2328"/>
      </w:tblGrid>
      <w:tr>
        <w:trPr>
          <w:tblHeader w:val="true"/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环境/球种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使用率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均速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Whiff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解释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 2025变速球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12.7%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84.7 mph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41.6%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已有稳定使用和正向价值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 2026变速球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2.3%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86.8 mph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62.5%（5/8次挥棒；共29球）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样本过小，可信的是使用骤降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MLB滑球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45.3%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40.6%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核心终结球，官方RV +4</w:t>
            </w:r>
          </w:p>
        </w:tc>
      </w:tr>
      <w:tr>
        <w:trPr>
          <w:cantSplit/>
        </w:trPr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MLB四缝线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43.5%</w:t>
            </w:r>
          </w:p>
        </w:tc>
        <w:tc>
          <w:tcPr>
            <w:tcW w:type="dxa" w:w="16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94.9 mph</w:t>
            </w:r>
          </w:p>
        </w:tc>
        <w:tc>
          <w:tcPr>
            <w:tcW w:type="dxa" w:w="17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19.6%</w:t>
            </w:r>
          </w:p>
        </w:tc>
        <w:tc>
          <w:tcPr>
            <w:tcW w:type="dxa" w:w="232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总值接近中性，需按侧别拆分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2"/>
      </w:pPr>
      <w:r>
        <w:t>3.3 四缝线的样本内不利结果主要出现在左打情境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四缝线面对左打311球，Whiff为15.4%（20/130次挥棒），RV/100为−1.27；面对右打229球，Whiff为27.0%（20/74次挥棒），RV/100为+1.47。滑球对左、右打的RV/100分别为+0.98和+0.11，方向均为正。总球种表掩盖了四缝线的样本内侧别差异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两组Whiff的Wilson 95%区间分别约为10.2%—22.6%和18.2%—38.1%，存在重叠。这项拆分也没有控制球数、落点、对手与配球意图，因而不能证明“左打身份导致四缝线失效”。它能做的是缩小优先核查范围：对右打暂不改变四缝线—滑球主轴；对左打先核对四缝线位置与球种衔接，再在可控打席中验证低速第三球种，之后依据位置、速度差、移动、Whiff和接触质量决定是否扩大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球数分组没有被转成固定暗号。满球数和投手领先等小组受位置、选择和极小样本影响，不适合写成“某球数只投某球种”。训练目标应是建立三种球在不同情境下的可执行边界。</w:t>
      </w:r>
    </w:p>
    <w:p>
      <w:pPr>
        <w:pStyle w:val="Heading2"/>
      </w:pPr>
      <w:r>
        <w:t>3.4 牛棚提供校准信号，尚未决定长期角色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15次先发共1,151球、265个打席，Zone%、首球好球率和Whiff%分别为43.4%、49.8%和31.6%；两次牛棚共89球、23个打席，相应为46.1%、73.9%和40.0%，Chase%也从26.4%升至37.5%。点估计方向值得继续观察，但四项角色比例的Wilson 95%区间全部重叠：先发/牛棚的Zone区间为40.6%—46.3%/36.1%—56.4%，首球为43.8%—55.8%/53.5%—87.5%，Whiff为27.7%—35.8%/27.0%—54.5%，Chase为23.2%—29.9%/25.2%—51.6%。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样本和替代解释却不能忽略。23个打席使比例区间很宽，角色变化还与伤病恢复、日期、对手和比赛情境同时发生。四缝线均速从先发94.87 mph略降到牛棚94.72 mph，不支持“牛棚必然提高球速”。面对打线第三轮的161球也没有明显球速下降，该样本内投手视角逐球Run Value合计为正，至少否定了“第三轮必然崩盘”的简单叙事。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66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role_risk_interv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0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9"/>
        </w:rPr>
        <w:t>图2  角色与侧别的样本比例、区间和解释边界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因此，现有数据没有给出牛棚角色的因果效果估计。管理上可以把下一段多局牛棚设计成前瞻校准实验，用统一记录表观察首球、进区和对左打低速第三球种，同时保留比赛强度；长期角色必须等样本扩大并完成负荷阶梯后再判断。</w:t>
      </w:r>
    </w:p>
    <w:p>
      <w:pPr>
        <w:pStyle w:val="Heading1"/>
      </w:pPr>
      <w:r>
        <w:t>四、决策建议</w:t>
      </w:r>
    </w:p>
    <w:p>
      <w:pPr>
        <w:pStyle w:val="Heading2"/>
      </w:pPr>
      <w:r>
        <w:t>4.1 阶段A：3—4周校准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健康检查通过后，每次承担1—2局多局牛棚。动作、握法、热身与休息干预由投手教练和医疗组决定；分析侧只固定观察项：四缝线进区与位置、滑球坏球质量、变速球速度层和接触质量。变速球速度差以约8 mph为警戒线，尝试向9—10 mph恢复；使用率在可控训练或校准打席中逐步提高，优先评估对左打方案。任何右臂疲劳、疼痛或动作异常都停止负荷升级。</w:t>
      </w:r>
    </w:p>
    <w:p>
      <w:pPr>
        <w:pStyle w:val="Heading2"/>
      </w:pPr>
      <w:r>
        <w:t>4.2 阶段B：积累样本并启用滚动60打席门槛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先完成至少60个打席，此后按滚动最近60个打席计算。只有同一窗口内Zone%≥46%、首球好球率≥60%、BB%≤10%且健康无异常时才升级；变速球使用率以8%—12%为试验区间，速度差不低于约8 mph并争取接近9—10 mph，位置、移动和接触质量不能同时恶化。任一主门槛未达则留在B阶段；BB%&gt;12%，或Zone%与首球好球率同时低于门槛时回到A阶段。这些数值是结合公开平均、NPB历史和牛棚初始信号设定的暂定管理线，不是由23个打席估出的稳定能力切点；通过门槛只触发下一阶段试验，不等于已经证明先发能力恢复。</w:t>
      </w:r>
    </w:p>
    <w:p>
      <w:pPr>
        <w:pStyle w:val="Heading2"/>
      </w:pPr>
      <w:r>
        <w:t>4.3 阶段C：45、60、75球负荷阶梯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通过过程门槛后，按45→60→75球逐级增加负荷，每阶至少两次。除总结果外，比较前后半段Zone%、首球好球率、四缝线球速和变速球速度差，并要求滚动60打席门槛继续成立。任一升级条件未满足则停在当前负荷；仅在当前负荷下出现后半段执行、球速或健康恶化时退一阶；控球明显回落至B阶段退回条件时回A。</w:t>
      </w:r>
    </w:p>
    <w:p>
      <w:pPr>
        <w:pStyle w:val="Heading2"/>
      </w:pPr>
      <w:r>
        <w:t>4.4 阶段D：长期角色分支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完成75球阶段、且45/60/75球各阶至少两次仍保持健康和过程稳定，可以回到传统先发。若扩大样本后前两轮稳定而第三轮持续失效，可评估面对打线1—2轮的短先发、跟随投手或四至五局短先发。若控球在牛棚阶段也无法恢复，应重新评估健康、动作与握法，而不是用更多滑球掩盖进区问题。</w:t>
      </w:r>
    </w:p>
    <w:tbl>
      <w:tblPr>
        <w:tblW w:type="dxa" w:w="907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296"/>
        <w:gridCol w:w="2851"/>
        <w:gridCol w:w="2592"/>
        <w:gridCol w:w="2333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阶段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任务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升级条件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keepNext/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失败处理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 校准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多局牛棚、三球种重组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健康稳定、变速球逐步恢复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复查健康、动作和握法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 过程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先完成≥60打席；此后滚动最近60打席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Zone%≥46%、首球好球率≥60%、BB%≤10%且健康稳定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任一项未达留在B；BB%&gt;12%，或Zone%与首球好球率同时低于门槛则回A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C 负荷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45→60→75球；每阶至少两次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滚动门槛成立，后半段执行与球速稳定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条件未满足停在当前负荷；负荷性退化退一阶；控球明显回落则回A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D 角色</w:t>
            </w:r>
          </w:p>
        </w:tc>
        <w:tc>
          <w:tcPr>
            <w:tcW w:type="dxa" w:w="28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完成75球阶段后判断轮次</w:t>
            </w:r>
          </w:p>
        </w:tc>
        <w:tc>
          <w:tcPr>
            <w:tcW w:type="dxa" w:w="259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各阶至少两次且健康、过程稳定</w:t>
            </w:r>
          </w:p>
        </w:tc>
        <w:tc>
          <w:tcPr>
            <w:tcW w:type="dxa" w:w="233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第三轮持续失效则评估面对打线1—2轮或四至五局短先发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五、替代解释与风险控制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ERA受防守、时序和偶发长打影响，因此分析同时报告xERA、K-BB%和过程指标。xERA也不是无误差真值，行动判断主要依赖能够在训练中复查的Zone、首球、BB，以及球队内部能够补充的球路移动和位置数据。过程改善而短期ERA仍波动时，不应立即放弃校准；ERA改善但过程仍差时，也不能认为问题已经解决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伤病和时间趋势是角色比较中最大的混杂。转入牛棚与恢复阶段相互重叠，公开数据无法分离健康变化和角色变化。决策树将健康置于第一门禁，任何疼痛、疲劳或动作异常都优先停止负荷升级，统计门槛不能替代医疗评估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跨联盟比较只用于结构。NPB与MLB有不同的比赛用球、球场、打者、追踪模型和球种标签体系；MLB还单列指叉球与伸卡球。同名标签不能保证同一握法或形态，速度差也不能完整代表球种质量。若未来取得同口径的释放点、旋转、位移和投球意图数据，应重新核对标签映射与速度层变化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角色、变速球和第三轮样本均有限。新比赛进入后，应使用相同分母和分组重算，再检查哪项决策条件改变。若数据字段或追踪定义变化，则从清洗环节重做；不能只替换报告中的ERA而保留旧结论。</w:t>
      </w:r>
    </w:p>
    <w:p>
      <w:pPr>
        <w:pStyle w:val="Heading1"/>
      </w:pPr>
      <w:r>
        <w:t>六、结论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本窗口内，今井的K%、Whiff%和四缝线均速未整体下降。当前最先需要解决的是过多保送和早期球数控制，而不是追求额外球速。球种调整重点是保留滑球主轴、核对对左打的四缝线位置，并前瞻验证能否恢复NPB时期低速第三球种的功能；这是由历史结构与当前标签变化提出的试验问题，不是29球样本给出的效果结论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两次牛棚登板支持继续短期校准，却不足以决定永久角色。更稳妥的路径是先在多局牛棚观察过程指标；至少完成60个打席后启用滚动60打席门槛，再通过45→60→75球负荷阶梯返回先发。角色选择由健康、控球、球种质量和扩大样本后的轮次表现共同更新，不由一场ERA或一次高光决定。</w:t>
      </w:r>
    </w:p>
    <w:p>
      <w:pPr>
        <w:pStyle w:val="Heading1"/>
      </w:pPr>
      <w:r>
        <w:t>七、复现与来源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冻结研究用下列命令运行主要分析、报告生成和自动校验：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3"/>
        </w:rPr>
        <w:t>python scripts/run_pipeline.py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当前脚本用4份原始MLB输入重算主要分析，并读取已冻结的NPB处理表生成跨联盟比较、图表和报告；17份原始快照均由来源清单验真，但并非全部由当前脚本从raw重新加工。建立新窗口时必须分段执行抓取与分析、审阅数据差异、人工更新静态Markdown，再生成报告和运行校验，不能把--refresh-data理解为正文数字自动同步。单元测试命令为：</w:t>
      </w:r>
    </w:p>
    <w:p>
      <w:pPr>
        <w:spacing w:before="80" w:after="80"/>
        <w:ind w:firstLine="0"/>
        <w:jc w:val="center"/>
      </w:pPr>
      <w:r>
        <w:rPr>
          <w:rFonts w:ascii="Cambria Math" w:hAnsi="Cambria Math" w:eastAsia="宋体" w:cs="Cambria Math"/>
          <w:b w:val="0"/>
          <w:color w:val="000000"/>
          <w:sz w:val="23"/>
        </w:rPr>
        <w:t>python -m unittest discover -s tests -v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对账结果：qa/data_reconciliation.csv。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核心数字：data/processed/analysis_summary.json及相应CSV。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判断变化：docs/research/hypothesis_log.md与docs/research/analysis_cycle_results.md。</w:t>
      </w:r>
    </w:p>
    <w:p>
      <w:pPr>
        <w:spacing w:line="312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主要来源：MLB StatsAPI；Baseball Savant Statcast Search、Expected Statistics与Pitch Arsenal；NPB官方球员页；第三方网站NPB Basement；MLB.com 2026年5月31日及7月31日报道。来源职责映射见docs/research/source_register.md；逐文件URL、下载时间、本地文件名、用途状态和SHA-256以data/raw/source_manifest.csv/json为准。GitHub仓库为youth-flow/MLB-Analytics；本稿使用的冻结分析commit为9c8033d，提交材料于2026年8月25日重新复核排版。</w:t>
      </w:r>
    </w:p>
    <w:sectPr w:rsidR="00FC693F" w:rsidRPr="0006063C" w:rsidSect="00034616">
      <w:footerReference w:type="default" r:id="rId9"/>
      <w:pgSz w:w="11906" w:h="16838"/>
      <w:pgMar w:top="1276" w:right="1417" w:bottom="1247" w:left="141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60"/>
      <w:jc w:val="both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今井达也MLB调整与角色复位建议</dc:title>
  <dc:subject/>
  <dc:creator>杨炎新</dc:creator>
  <cp:keywords/>
  <dc:description/>
  <cp:lastModifiedBy>杨炎新</cp:lastModifiedBy>
  <cp:revision>1</cp:revision>
  <dcterms:created xsi:type="dcterms:W3CDTF">2026-08-25T16:16:48Z</dcterms:created>
  <dcterms:modified xsi:type="dcterms:W3CDTF">2026-08-25T16:16:48Z</dcterms:modified>
  <cp:category/>
  <dc:identifier/>
  <dc:language>zh-CN</dc:language>
  <cp:version>1.0</cp:version>
</cp:coreProperties>
</file>