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微软雅黑" w:cs="Arial"/>
          <w:b/>
          <w:color w:val="000000"/>
          <w:sz w:val="34"/>
        </w:rPr>
        <w:t>今井达也MLB角色与复位建议：先校准，达标后重返先发</w:t>
      </w:r>
    </w:p>
    <w:p>
      <w:pPr>
        <w:spacing w:after="120"/>
        <w:ind w:firstLine="0"/>
        <w:jc w:val="center"/>
      </w:pPr>
      <w:r>
        <w:rPr>
          <w:rFonts w:ascii="Arial" w:hAnsi="Arial" w:eastAsia="微软雅黑" w:cs="Arial"/>
          <w:b w:val="0"/>
          <w:color w:val="000000"/>
          <w:sz w:val="18"/>
        </w:rPr>
        <w:t>数据窗口：2026年3月29日至8月12日</w:t>
      </w:r>
    </w:p>
    <w:p>
      <w:pPr>
        <w:spacing w:after="160"/>
        <w:ind w:firstLine="0"/>
        <w:jc w:val="center"/>
      </w:pPr>
      <w:r>
        <w:rPr>
          <w:rFonts w:ascii="Arial" w:hAnsi="Arial" w:eastAsia="微软雅黑" w:cs="Arial"/>
          <w:b w:val="0"/>
          <w:color w:val="000000"/>
          <w:sz w:val="18"/>
        </w:rPr>
        <w:t>杨炎新　3230102355</w:t>
      </w:r>
    </w:p>
    <w:p>
      <w:pPr>
        <w:spacing w:line="240" w:lineRule="auto" w:after="100" w:before="60"/>
        <w:ind w:firstLine="360" w:left="180" w:right="180"/>
        <w:jc w:val="both"/>
      </w:pPr>
      <w:r>
        <w:rPr>
          <w:rFonts w:ascii="Arial" w:hAnsi="Arial" w:eastAsia="微软雅黑" w:cs="Arial"/>
          <w:b/>
          <w:color w:val="000000"/>
          <w:sz w:val="18"/>
        </w:rPr>
        <w:t>建议把未来3—4周设为可逆的多局牛棚校准期：先修复进区与首球执行，并在至少60个打席后按滚动60个打席复盘；Zone%≥46%、首球好球率≥60%、BB%≤10%且健康无异常，才进入45→60→75球负荷阶梯。球种上保留滑球主轴，在可控条件下验证对左打的低速第三球种。两次牛棚只有23个打席，现阶段既不支持立即回先发，也不支持永久改后援。</w:t>
      </w:r>
    </w:p>
    <w:p>
      <w:pPr>
        <w:pStyle w:val="Heading1"/>
      </w:pPr>
      <w:r>
        <w:t>一、四个判断</w:t>
      </w:r>
    </w:p>
    <w:p>
      <w:pPr>
        <w:pStyle w:val="ListNumber"/>
        <w:spacing w:before="0" w:after="30" w:line="276" w:lineRule="auto"/>
        <w:ind w:left="425" w:hanging="198"/>
      </w:pPr>
      <w:r>
        <w:rPr>
          <w:rFonts w:ascii="Arial" w:hAnsi="Arial" w:eastAsia="微软雅黑" w:cs="Arial"/>
          <w:b/>
          <w:color w:val="000000"/>
          <w:sz w:val="18"/>
        </w:rPr>
        <w:t>三振、挥空和四缝线球速未整体下降；控球是当前第一瓶颈。</w:t>
      </w:r>
      <w:r>
        <w:rPr>
          <w:rFonts w:ascii="Arial" w:hAnsi="Arial" w:eastAsia="微软雅黑" w:cs="Arial"/>
          <w:b w:val="0"/>
          <w:color w:val="000000"/>
          <w:sz w:val="18"/>
        </w:rPr>
        <w:t xml:space="preserve"> 截至8月12日共288个打席（80次三振、42次保送），K%=27.8%、Whiff%=32.3%、四缝线均速94.9 mph；但BB%=14.6%、Zone%=43.6%、首球好球率=51.7%。NPB 2025的K%=27.8%、BB%=7.0%只作跨联盟方向参照。</w:t>
      </w:r>
    </w:p>
    <w:p>
      <w:pPr>
        <w:pStyle w:val="ListNumber"/>
        <w:spacing w:before="0" w:after="30" w:line="276" w:lineRule="auto"/>
        <w:ind w:left="425" w:hanging="198"/>
      </w:pPr>
      <w:r>
        <w:rPr>
          <w:rFonts w:ascii="Arial" w:hAnsi="Arial" w:eastAsia="微软雅黑" w:cs="Arial"/>
          <w:b/>
          <w:color w:val="000000"/>
          <w:sz w:val="18"/>
        </w:rPr>
        <w:t>优先核对对左打的四缝线—变速球组合。</w:t>
      </w:r>
      <w:r>
        <w:rPr>
          <w:rFonts w:ascii="Arial" w:hAnsi="Arial" w:eastAsia="微软雅黑" w:cs="Arial"/>
          <w:b w:val="0"/>
          <w:color w:val="000000"/>
          <w:sz w:val="18"/>
        </w:rPr>
        <w:t xml:space="preserve"> 滑球562球，使用率45.3%、Whiff%=40.6%、官方Run Value +4，是当前证据最稳的核心球种。四缝线对左打311球，Whiff%=15.4%、RV/100=−1.27；对右打229球，Whiff%=27.0%、RV/100=+1.47。该分组提示先核对对左打落点与速度配套，不支持全面削减四缝线。</w:t>
      </w:r>
    </w:p>
    <w:p>
      <w:pPr>
        <w:pStyle w:val="ListNumber"/>
        <w:spacing w:before="0" w:after="30" w:line="276" w:lineRule="auto"/>
        <w:ind w:left="425" w:hanging="198"/>
      </w:pPr>
      <w:r>
        <w:rPr>
          <w:rFonts w:ascii="Arial" w:hAnsi="Arial" w:eastAsia="微软雅黑" w:cs="Arial"/>
          <w:b/>
          <w:color w:val="000000"/>
          <w:sz w:val="18"/>
        </w:rPr>
        <w:t>低速第三球种有历史基础，但MLB证据仍少。</w:t>
      </w:r>
      <w:r>
        <w:rPr>
          <w:rFonts w:ascii="Arial" w:hAnsi="Arial" w:eastAsia="微软雅黑" w:cs="Arial"/>
          <w:b w:val="0"/>
          <w:color w:val="000000"/>
          <w:sz w:val="18"/>
        </w:rPr>
        <w:t xml:space="preserve"> 按两套公开数据的同名标签，CH使用率由NPB 2025的12.7%降至MLB的2.3%，与四缝线速度差由10.1缩至8.0 mph；即使把CH与FS合并，使用率仍由17.0%降至5.7%。标签不保证对应同一握法；MLB的CH只有29球、8次挥棒和5次Whiff，只能提出校准问题，不能确认当前质量。</w:t>
      </w:r>
    </w:p>
    <w:p>
      <w:pPr>
        <w:pStyle w:val="ListNumber"/>
        <w:spacing w:before="0" w:after="30" w:line="276" w:lineRule="auto"/>
        <w:ind w:left="425" w:hanging="198"/>
      </w:pPr>
      <w:r>
        <w:rPr>
          <w:rFonts w:ascii="Arial" w:hAnsi="Arial" w:eastAsia="微软雅黑" w:cs="Arial"/>
          <w:b/>
          <w:color w:val="000000"/>
          <w:sz w:val="18"/>
        </w:rPr>
        <w:t>牛棚只能作为校准信号，不能决定长期角色。</w:t>
      </w:r>
      <w:r>
        <w:rPr>
          <w:rFonts w:ascii="Arial" w:hAnsi="Arial" w:eastAsia="微软雅黑" w:cs="Arial"/>
          <w:b w:val="0"/>
          <w:color w:val="000000"/>
          <w:sz w:val="18"/>
        </w:rPr>
        <w:t xml:space="preserve"> 两次牛棚共89球、23个打席，Zone%、首球好球率和Whiff%为46.1%、73.9%和40.0%，点估计方向积极；但四项过程比例的先发/牛棚区间均重叠，四缝线球速也未提高，角色、日期、健康和对手同时变化，因此不作因果解释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40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exec_decision_signa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4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ind w:firstLine="0"/>
        <w:jc w:val="center"/>
      </w:pPr>
      <w:r>
        <w:rPr>
          <w:rFonts w:ascii="Arial" w:hAnsi="Arial" w:eastAsia="微软雅黑" w:cs="Arial"/>
          <w:b w:val="0"/>
          <w:color w:val="000000"/>
          <w:sz w:val="18"/>
        </w:rPr>
        <w:t>图1  决策信号与证据边界</w:t>
      </w:r>
    </w:p>
    <w:p>
      <w:r>
        <w:br w:type="page"/>
      </w:r>
    </w:p>
    <w:p>
      <w:pPr>
        <w:pStyle w:val="Heading1"/>
      </w:pPr>
      <w:r>
        <w:t>二、四阶段执行安排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081"/>
        <w:gridCol w:w="1486"/>
        <w:gridCol w:w="1621"/>
        <w:gridCol w:w="3378"/>
        <w:gridCol w:w="2300"/>
      </w:tblGrid>
      <w:tr>
        <w:trPr>
          <w:tblHeader w:val="true"/>
          <w:cantSplit/>
        </w:trPr>
        <w:tc>
          <w:tcPr>
            <w:tcW w:type="dxa" w:w="1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/>
                <w:color w:val="000000"/>
                <w:sz w:val="18"/>
              </w:rPr>
              <w:t>负责人</w:t>
            </w:r>
          </w:p>
        </w:tc>
        <w:tc>
          <w:tcPr>
            <w:tcW w:type="dxa" w:w="1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/>
                <w:color w:val="000000"/>
                <w:sz w:val="18"/>
              </w:rPr>
              <w:t>窗口</w:t>
            </w:r>
          </w:p>
        </w:tc>
        <w:tc>
          <w:tcPr>
            <w:tcW w:type="dxa" w:w="33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/>
                <w:color w:val="000000"/>
                <w:sz w:val="18"/>
              </w:rPr>
              <w:t>观察与动作</w:t>
            </w:r>
          </w:p>
        </w:tc>
        <w:tc>
          <w:tcPr>
            <w:tcW w:type="dxa" w:w="2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/>
                <w:color w:val="000000"/>
                <w:sz w:val="18"/>
              </w:rPr>
              <w:t>未达标处理</w:t>
            </w:r>
          </w:p>
        </w:tc>
      </w:tr>
      <w:tr>
        <w:trPr>
          <w:cantSplit/>
        </w:trPr>
        <w:tc>
          <w:tcPr>
            <w:tcW w:type="dxa" w:w="1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A 校准</w:t>
            </w:r>
          </w:p>
        </w:tc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投手教练、医疗组</w:t>
            </w:r>
          </w:p>
        </w:tc>
        <w:tc>
          <w:tcPr>
            <w:tcW w:type="dxa" w:w="1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3—4周；每次1—2局</w:t>
            </w:r>
          </w:p>
        </w:tc>
        <w:tc>
          <w:tcPr>
            <w:tcW w:type="dxa" w:w="33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健康检查先行；动作、握法和热身干预由投教/医疗组确定；记录进区、变速球速度差、使用率和接触质量</w:t>
            </w:r>
          </w:p>
        </w:tc>
        <w:tc>
          <w:tcPr>
            <w:tcW w:type="dxa" w:w="2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疼痛、疲劳或动作异常即停止加量；由球队完成健康与动作复查</w:t>
            </w:r>
          </w:p>
        </w:tc>
      </w:tr>
      <w:tr>
        <w:trPr>
          <w:cantSplit/>
        </w:trPr>
        <w:tc>
          <w:tcPr>
            <w:tcW w:type="dxa" w:w="1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B 过程</w:t>
            </w:r>
          </w:p>
        </w:tc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投手教练、分析组</w:t>
            </w:r>
          </w:p>
        </w:tc>
        <w:tc>
          <w:tcPr>
            <w:tcW w:type="dxa" w:w="1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先完成≥60打席；此后滚动最近60打席</w:t>
            </w:r>
          </w:p>
        </w:tc>
        <w:tc>
          <w:tcPr>
            <w:tcW w:type="dxa" w:w="33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同一滚动窗口内Zone%≥46%、首球好球率≥60%、BB%≤10%且健康稳定；在可控打席中评估变速球对左打方案</w:t>
            </w:r>
          </w:p>
        </w:tc>
        <w:tc>
          <w:tcPr>
            <w:tcW w:type="dxa" w:w="2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任一项未达：留在B、不升级；BB%&gt;12%，或Zone%与首球好球率同时低于门槛：回A</w:t>
            </w:r>
          </w:p>
        </w:tc>
      </w:tr>
      <w:tr>
        <w:trPr>
          <w:cantSplit/>
        </w:trPr>
        <w:tc>
          <w:tcPr>
            <w:tcW w:type="dxa" w:w="1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C 负荷</w:t>
            </w:r>
          </w:p>
        </w:tc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教练组</w:t>
            </w:r>
          </w:p>
        </w:tc>
        <w:tc>
          <w:tcPr>
            <w:tcW w:type="dxa" w:w="1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45→60→75球；每阶至少两次</w:t>
            </w:r>
          </w:p>
        </w:tc>
        <w:tc>
          <w:tcPr>
            <w:tcW w:type="dxa" w:w="33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滚动60打席三项门槛继续满足；对比前后半段进区、球速和球种执行</w:t>
            </w:r>
          </w:p>
        </w:tc>
        <w:tc>
          <w:tcPr>
            <w:tcW w:type="dxa" w:w="2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任一升级条件未满足：停在当前负荷；仅当前负荷下健康、球速或执行恶化：退一阶；控球明显回落：回A</w:t>
            </w:r>
          </w:p>
        </w:tc>
      </w:tr>
      <w:tr>
        <w:trPr>
          <w:cantSplit/>
        </w:trPr>
        <w:tc>
          <w:tcPr>
            <w:tcW w:type="dxa" w:w="1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D 角色</w:t>
            </w:r>
          </w:p>
        </w:tc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教练组、管理层</w:t>
            </w:r>
          </w:p>
        </w:tc>
        <w:tc>
          <w:tcPr>
            <w:tcW w:type="dxa" w:w="1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完成75球阶段且各阶至少两次后评估</w:t>
            </w:r>
          </w:p>
        </w:tc>
        <w:tc>
          <w:tcPr>
            <w:tcW w:type="dxa" w:w="33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健康和过程稳定则回传统先发；若前两轮稳定、第三轮反复失效，评估面对打线1—2轮或四至五局短先发</w:t>
            </w:r>
          </w:p>
        </w:tc>
        <w:tc>
          <w:tcPr>
            <w:tcW w:type="dxa" w:w="2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不以单场ERA或一次高光改变长期角色</w:t>
            </w:r>
          </w:p>
        </w:tc>
      </w:tr>
    </w:tbl>
    <w:p>
      <w:pPr>
        <w:spacing w:after="0" w:line="72" w:lineRule="auto"/>
        <w:ind w:firstLine="0"/>
      </w:pPr>
    </w:p>
    <w:p>
      <w:pPr>
        <w:spacing w:line="240" w:lineRule="auto" w:after="0"/>
        <w:ind w:firstLine="360"/>
        <w:jc w:val="both"/>
      </w:pPr>
      <w:r>
        <w:rPr>
          <w:rFonts w:ascii="Arial" w:hAnsi="Arial" w:eastAsia="微软雅黑" w:cs="Arial"/>
          <w:b w:val="0"/>
          <w:color w:val="000000"/>
          <w:sz w:val="18"/>
        </w:rPr>
        <w:t>以上是便于执行和复盘的暂定管理线，并非由23个牛棚打席估出的稳定能力水平。公开数据不含动作、握法和医疗信息，健康判断始终优先于统计门槛。</w:t>
      </w:r>
    </w:p>
    <w:p>
      <w:pPr>
        <w:pStyle w:val="Heading1"/>
      </w:pPr>
      <w:r>
        <w:t>三、每次复盘只看四组问题</w:t>
      </w:r>
    </w:p>
    <w:p>
      <w:pPr>
        <w:pStyle w:val="ListBullet"/>
        <w:spacing w:before="0" w:after="30" w:line="276" w:lineRule="auto"/>
        <w:ind w:left="425" w:hanging="198"/>
      </w:pPr>
      <w:r>
        <w:rPr>
          <w:rFonts w:ascii="Arial" w:hAnsi="Arial" w:eastAsia="微软雅黑" w:cs="Arial"/>
          <w:b w:val="0"/>
          <w:color w:val="000000"/>
          <w:sz w:val="18"/>
        </w:rPr>
        <w:t>控球：Zone%、首球好球率和BB%是否同步改善。</w:t>
      </w:r>
    </w:p>
    <w:p>
      <w:pPr>
        <w:pStyle w:val="ListBullet"/>
        <w:spacing w:before="0" w:after="30" w:line="276" w:lineRule="auto"/>
        <w:ind w:left="425" w:hanging="198"/>
      </w:pPr>
      <w:r>
        <w:rPr>
          <w:rFonts w:ascii="Arial" w:hAnsi="Arial" w:eastAsia="微软雅黑" w:cs="Arial"/>
          <w:b w:val="0"/>
          <w:color w:val="000000"/>
          <w:sz w:val="18"/>
        </w:rPr>
        <w:t>低速第三球种：速度差、落点、移动和接触质量是否在增加使用率时保持稳定。</w:t>
      </w:r>
    </w:p>
    <w:p>
      <w:pPr>
        <w:pStyle w:val="ListBullet"/>
        <w:spacing w:before="0" w:after="30" w:line="276" w:lineRule="auto"/>
        <w:ind w:left="425" w:hanging="198"/>
      </w:pPr>
      <w:r>
        <w:rPr>
          <w:rFonts w:ascii="Arial" w:hAnsi="Arial" w:eastAsia="微软雅黑" w:cs="Arial"/>
          <w:b w:val="0"/>
          <w:color w:val="000000"/>
          <w:sz w:val="18"/>
        </w:rPr>
        <w:t>负荷：球数增加后，四缝线球速与进区率是否在后半段下降。</w:t>
      </w:r>
    </w:p>
    <w:p>
      <w:pPr>
        <w:pStyle w:val="ListBullet"/>
        <w:spacing w:before="0" w:after="30" w:line="276" w:lineRule="auto"/>
        <w:ind w:left="425" w:hanging="198"/>
      </w:pPr>
      <w:r>
        <w:rPr>
          <w:rFonts w:ascii="Arial" w:hAnsi="Arial" w:eastAsia="微软雅黑" w:cs="Arial"/>
          <w:b w:val="0"/>
          <w:color w:val="000000"/>
          <w:sz w:val="18"/>
        </w:rPr>
        <w:t>样本：是否达到至少60个打席、每阶至少两次，而不是被单场高光改变判断。</w:t>
      </w:r>
    </w:p>
    <w:p>
      <w:pPr>
        <w:pStyle w:val="Heading1"/>
      </w:pPr>
      <w:r>
        <w:t>四、结论</w:t>
      </w:r>
    </w:p>
    <w:p>
      <w:pPr>
        <w:spacing w:line="240" w:lineRule="auto" w:after="0"/>
        <w:ind w:firstLine="360"/>
        <w:jc w:val="both"/>
      </w:pPr>
      <w:r>
        <w:rPr>
          <w:rFonts w:ascii="Arial" w:hAnsi="Arial" w:eastAsia="微软雅黑" w:cs="Arial"/>
          <w:b w:val="0"/>
          <w:color w:val="000000"/>
          <w:sz w:val="18"/>
        </w:rPr>
        <w:t>现有证据支持“短期校准、达标后重返先发”。过程指标未达前不增加先发负荷；指标在扩大样本和负荷阶梯中保持稳定后，也没有理由仅凭两次牛棚永久改变角色。</w:t>
      </w:r>
    </w:p>
    <w:p>
      <w:pPr>
        <w:spacing w:line="240" w:lineRule="auto" w:after="0"/>
        <w:ind w:firstLine="360"/>
        <w:jc w:val="both"/>
      </w:pPr>
      <w:r>
        <w:rPr>
          <w:rFonts w:ascii="Arial" w:hAnsi="Arial" w:eastAsia="微软雅黑" w:cs="Arial"/>
          <w:b/>
          <w:color w:val="000000"/>
          <w:sz w:val="18"/>
        </w:rPr>
        <w:t>来源与版本：</w:t>
      </w:r>
      <w:r>
        <w:rPr>
          <w:rFonts w:ascii="Arial" w:hAnsi="Arial" w:eastAsia="微软雅黑" w:cs="Arial"/>
          <w:b w:val="0"/>
          <w:color w:val="000000"/>
          <w:sz w:val="18"/>
        </w:rPr>
        <w:t xml:space="preserve"> MLB StatsAPI、Baseball Savant、NPB官方、NPB Basement及MLB.com背景报道。完整URL、快照、分母和代码见配套底稿；GitHub：youth-flow/MLB-Analytics，冻结分析版本为commit 9c8033d，核查结果见《底稿04　MLB复现与交付核查说明》。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 w:eastAsia="微软雅黑" w:cs="Arial"/>
        <w:b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40" w:lineRule="auto" w:before="0" w:after="0"/>
      <w:ind w:firstLine="360"/>
      <w:jc w:val="both"/>
    </w:pPr>
    <w:rPr>
      <w:rFonts w:ascii="Arial" w:hAnsi="Arial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Application>Office Open XML</ns0:Application>
  <ns0:DocSecurity>0</ns0:DocSecurity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今井达也MLB角色与复位建议：先校准，达标后重返先发</dc:title>
  <dc:subject/>
  <dc:creator>杨炎新</dc:creator>
  <cp:keywords/>
  <dc:description/>
  <cp:lastModifiedBy>杨炎新</cp:lastModifiedBy>
  <cp:revision>1</cp:revision>
  <dcterms:created xsi:type="dcterms:W3CDTF">2026-08-25T16:16:48Z</dcterms:created>
  <dcterms:modified xsi:type="dcterms:W3CDTF">2026-08-25T16:16:48Z</dcterms:modified>
  <cp:category/>
  <dc:identifier/>
  <dc:language>zh-CN</dc:language>
  <cp:version>1.0</cp:version>
</cp:coreProperties>
</file>