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第3周实习记录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第3周：分层分析与实验试跑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/>
          <w:color w:val="000000"/>
          <w:sz w:val="21"/>
        </w:rPr>
        <w:t>说明：以下内容按项目实际推进顺序整理，具体日期以会议材料和实验记录为准。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一、从“球威下降”转向“控球问题”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本周开始对前两周冻结的数据做正式分析。我把今井在NPB 2025和MLB 2026的三振、保送、挥空与球速放在一起核对。两阶段K%均为27.8%，MLB Whiff%为32.3%，四缝线均速也接近NPB时期，至少不支持“球威整体消失”。更明显的变化是BB%由7.0%升至14.6%，Zone%为43.6%，首球好球率为51.7%。</w:t>
      </w: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这使我把重点从ERA转向过程指标。只看5.29的ERA，很容易归因于联盟强度或球速；加入逐球信息后，当前更需要解决的是进区和抢0—1球数的稳定性。Zone%又不能代表位置质量，所以我继续检查四缝线落点、滑球能否形成有竞争力的坏球和不同球数下的选择，没有把“多投好球”理解成往好球区中央投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二、球种结构与打者侧别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今井在MLB的四缝线和滑球合计占88.9%。我起初想减少滑球，但它的Whiff为40.6%、官方Run Value为+4，机械减量并不合理。回看NPB数据，我发现2025年变速球使用率为12.7%、Whiff为41.6%、xPV/100为+1.03，而MLB记录中的使用率只有2.3%。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我因此把“开发第三球种”改为“先核对并试着恢复已有的变速球”。MLB样本只有29球，不能凭命中结果判断质量；其均速由84.7 mph升至86.8 mph，与四缝线的速度差由10.14 mph收窄至8.01 mph，值得检查。两个联盟的球种标签也未必一一对应，MLB还记录了伸卡球和指叉球，所以12.7%到2.3%不能全解释成真实弃投。后续需结合球速、移动和释放特征核对球形，再决定试验用量。</w:t>
      </w: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左右打拆分给出风险信号：四缝线对左打311球，Whiff为15.4%、RV/100为-1.27；对右打229球，分别为27.0%和+1.47。但两组的球数、落点、对手和长打结果不同，不能直接写成“左打导致失效”。我只把它作为优先检查对左打位置和速度配套的依据，并保留对右打仍有效的四缝线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三、牛棚结果的反证检查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两次牛棚登板的Zone%、首球好球率和Whiff%分别为46.1%、73.9%和40.0%，方向上有所改善。但样本仅89球、23个打席，日期、伤病恢复和对手也与角色调整同时变化，四缝线均速并未明显上升。因此，我只把牛棚看作继续观察和校准的环境，不能说角色变化使控球提高，更不能提前决定长期改打后援。</w:t>
      </w: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我还检查了第三轮的161球。四缝线均速为95.65 mph，投手视角Run Value合计仍为正，不支持“第三轮一定因球速下降而崩盘”；但样本也不足以排除疲劳。下一周要把角色判断改成可升级、暂停和退回的负荷方案，而不是直接二选一。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四、港科大暑研：HPC4小规模试跑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港科暑研本周开始在HPC4上试跑Synthetic-oracle实验。我先用小规模数据接通生成、偏好配对、reward训练、局部策略更新和重新评价。实验以Qwen2.5-1.5B-Instruct为参考策略，冻结表示层，只训练线性reward head；策略端只更新最后一层q_proj和v_proj的rank-4 LoRA。每个prompt生成6个回答并构造15条无序回答对，供后续估计Fisher和reward moment。</w:t>
      </w:r>
    </w:p>
    <w:p w14:paraId="70F1B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第一次试跑能结束，但“程序不报错”不等于索引正确。我抽取若干prompt，手工核对6个回答、15条回答对和标签，再检查数据切分，以及策略评价是否在held-out prompts上重新生成。确认reward写回和单步策略更新按顺序接通后，我才准备下一周的三随机种子正式实验。本周只完成管线试跑和排错，没有把小规模输出当作结论。</w:t>
      </w:r>
    </w:p>
    <w:p w14:paraId="0468D702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i w:val="0"/>
          <w:color w:val="000000"/>
          <w:sz w:val="24"/>
        </w:rPr>
        <w:t>五、阶段反思与下一步</w:t>
      </w:r>
    </w:p>
    <w:p w14:paraId="05FC597B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本周最大的变化，是让结论强度与证据相匹配。变速球只有29球、牛棚只有23个打席，左右打拆分也受球数和对手影响；把限制写在判断旁边，能避免把暂时信号写成稳定规律。HPC4试跑同样说明，作业正常结束只代表流程能运行，正式实验前还必须检查索引、数据隔离和评价对象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完成控球、球种、左右打和角色四轮分析，并形成核心诊断图和角色拆分图。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将“减少滑球、开发任意第三球种”修正为“保留有效滑球，核对标签后优先试验变速球”。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完成HPC4小规模端到端试跑和关键索引检查，未把试跑结果写成正式结论。</w:t>
      </w:r>
    </w:p>
    <w:p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>
        <w:rPr>
          <w:rFonts w:ascii="仿宋_GB2312" w:hAnsi="仿宋_GB2312" w:eastAsia="仿宋_GB2312"/>
          <w:b w:val="0"/>
          <w:i w:val="0"/>
          <w:color w:val="000000"/>
          <w:sz w:val="24"/>
        </w:rPr>
        <w:t>下一周确定重返先发的观察与负荷门槛，并完成三随机种子实验、结果汇总和答辩。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>本科生短学期每周实习记录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</cp:coreProperties>
</file>