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第4周实习记录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第4周：决策交付与暑研答辩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/>
          <w:color w:val="000000"/>
          <w:sz w:val="21"/>
        </w:rPr>
        <w:t>说明：以下内容按项目实际推进顺序整理，具体日期以会议材料和实验记录为准。</w:t>
      </w:r>
    </w:p>
    <w:p w14:paraId="0468D702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i w:val="0"/>
          <w:color w:val="000000"/>
          <w:sz w:val="24"/>
        </w:rPr>
        <w:t>一、阶段主要任务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最后一周，我没有继续增加新的分析维度，而是把前三周的结果收拢成一套能够执行和复查的方案。本周依次重核关键数字与反例，确定训练顺序、观察门槛和角色分支，再整理两页汇总、底稿和仓库。最后确认：今井的K%仍为27.8%、Whiff%为32.3%，四缝线均速约94.9 mph；更明显的问题是BB%由7.0%升至14.6%，Zone%为43.6%，首球好球率为51.7%。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球种方面，四缝线和滑球合计占88.9%，但滑球仍有正向价值，不能机械减量。NPB 2025变速球使用率为12.7%，到MLB标签中降至2.3%，速度差也由约10.1 mph缩小到8.0 mph。结合第三周对标签口径和小样本的检查，我把它写成“恢复并验证历史球形”，而不是认定只要增加变速球就能解决问题。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i w:val="0"/>
          <w:color w:val="000000"/>
          <w:sz w:val="24"/>
        </w:rPr>
        <w:t>二、把判断改成执行方案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我起初想直接回答“继续先发还是转入牛棚”，但两次牛棚登板只有23个打席，不能据此确定长期角色。因此，我把牛棚定位为短期校准环境，而不是最终结论。校准期暂定3—4周，每次承担1—2局，重点练习四缝线进区重复性、滑球追打区域，以及变速球形与速度分层。变速球先在确认球形后逐步试到8%—12%，速度差以约8 mph为底线并向9—10 mph恢复；出现右臂疲劳或动作异常即停止加量。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先至少积累60个打席，此后用滚动最近60个打席检查：Zone%不低于46%、首球好球率不低于60%、BB%不高于10%。10%&lt;BB%≤12%时维持负荷，BB%&gt;12%或进区和首球持续未达时回到校准。全部达标后按45、60、75球逐级增加，每级至少两次。60—75球阶段仍健康、过程稳定时回到传统先发；若扩大样本后只在第三轮持续失效，再考虑短先发或跟随投手。这些数值是统一观察尺度的管理规则，不是23个牛棚打席拟合出的最优答案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i w:val="0"/>
          <w:color w:val="000000"/>
          <w:sz w:val="24"/>
        </w:rPr>
        <w:t>三、提交材料与复核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数据截至8月12日，共17场比赛、288个打席。Statcast原始文件有1,241行，其中1行自动坏球没有球种标签，所以球种分析使用1,240个带标签投球。提交前，我重核1,240个投球、80次三振、42次保送和17场比赛，四项与官方记录的差值均为0；同时复算17份原始文件的SHA-256，确保报告数字能追溯到冻结版本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本周完成两页决策汇总、完整分析底稿、数据来源与指标口径说明、分析迭代记录和复现核查说明。两页版只保留结论、证据、执行门槛与限制，详细分母、置信区间、反例和运行方法放入底稿。MLB-Analytics仓库按原始数据、处理数据、研究记录、脚本、报告和质量检查分层；我最后逐项核对正文、图表和处理表，确认关键数字都能由代码复算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i w:val="0"/>
          <w:color w:val="000000"/>
          <w:sz w:val="24"/>
        </w:rPr>
        <w:t>四、港科大暑研：完成实验与答辩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港科大IEDA暑研本周完成Synthetic-oracle机制实验。我在HKUST HPC4上固定三组随机种子和八条policy pipeline，并把训练与评价分开：每条policy在512个held-out prompts上重新生成6条回答，三组种子共得到73,728条fresh rollout记录。三种子均值中，O-Pro和H-Pro分别在对应信号组内取得最高policy utility；O-Pro的NLL和MSE并非组内最好，但局部regret最低，符合“偏好拟合排序与下游效用排序可能分离”的研究直觉。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我没有把结果写得过满。不同种子仍有波动，实验采用冻结表示层、线性reward head、rank-4 LoRA和单步更新，因此验证的是方法机制，不能直接推广到真人偏好或所有大模型。阶段末，我完成实验汇总、最终汇报和答辩，并提交《Prospective Reward Modeling》第一阶段报告。理论推导、HPC4实验、结果整理和答辩均已完成；真人偏好、更大模型与多轮优化属于后续扩展。</w:t>
      </w:r>
    </w:p>
    <w:p w14:paraId="0468D702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i w:val="0"/>
          <w:color w:val="000000"/>
          <w:sz w:val="24"/>
        </w:rPr>
        <w:t>五、阶段产出与总结</w:t>
      </w:r>
    </w:p>
    <w:p w14:paraId="70F1B991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这四周让我认识到，分析的价值不只是得到一个数，还要说明数字从哪里来、什么证据支持判断、什么情况会推翻判断，以及下一步如何行动。棒球项目训练了我在不完整公开数据下作出克制决策；港科暑研则把同一思路推进到理论和计算实验。两项任务均已按本阶段范围完成。</w:t>
      </w:r>
    </w:p>
    <w:p w14:paraId="0468D702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完成今井达也MLB调整方案、两页汇总、完整底稿和可复现项目仓库。</w:t>
      </w:r>
    </w:p>
    <w:p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固定观察门槛、负荷阶梯与退回条件，并保留小样本和跨联盟比较的限制。</w:t>
      </w:r>
    </w:p>
    <w:p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完成港科暑研三随机种子实验、73,728条fresh rollout汇总、最终汇报与答辩。</w:t>
      </w:r>
    </w:p>
    <w:p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确认课程数据分析项目和港科暑研本阶段均已完整完成；后续工作另作扩展。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第4周实习记录</dc:title>
  <dc:subject>本科生短学期每周实习记录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</cp:coreProperties>
</file>