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200" w:line="324" w:lineRule="auto"/>
        <w:ind w:left="0" w:right="0" w:firstLine="0"/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第1周实习记录</w:t>
      </w:r>
    </w:p>
    <w:p>
      <w:pPr>
        <w:keepNext w:val="0"/>
        <w:widowControl/>
        <w:spacing w:before="0" w:after="160" w:line="324" w:lineRule="auto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24"/>
        </w:rPr>
        <w:t>选题收敛、资料框架与 Alignment 理论奠基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00"/>
        <w:gridCol w:w="3100"/>
        <w:gridCol w:w="1500"/>
        <w:gridCol w:w="2900"/>
      </w:tblGrid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姓名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杨炎新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学号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3230102355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实习单位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上海思搏动态智能科技有限公司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联系人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蒋涵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实习期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2026.07.09—09.13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本次截止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2026年8月16日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一、本周目标</w:t>
      </w:r>
    </w:p>
    <w:p>
      <w:pPr>
        <w:widowControl/>
        <w:spacing w:before="100" w:after="80" w:line="324" w:lineRule="auto"/>
        <w:ind w:left="0" w:firstLine="420"/>
        <w:jc w:val="both"/>
      </w:pPr>
      <w:r>
        <w:rPr>
          <w:rFonts w:ascii="Times New Roman" w:hAnsi="Times New Roman" w:eastAsia="宋体"/>
          <w:color w:val="000000"/>
          <w:sz w:val="22"/>
        </w:rPr>
      </w:r>
      <w:r>
        <w:rPr>
          <w:rFonts w:ascii="Times New Roman" w:hAnsi="Times New Roman" w:eastAsia="宋体"/>
          <w:b/>
          <w:color w:val="000000"/>
          <w:sz w:val="22"/>
        </w:rPr>
        <w:t>数据分析主任务：</w:t>
      </w:r>
      <w:r>
        <w:rPr>
          <w:rFonts w:ascii="Times New Roman" w:hAnsi="Times New Roman" w:eastAsia="宋体"/>
          <w:color w:val="000000"/>
          <w:sz w:val="22"/>
        </w:rPr>
        <w:t>把课程给出的开放题目收窄为可计算、可执行的棒球决策问题，并建立数据源、指标口径和证据边界。</w:t>
      </w:r>
    </w:p>
    <w:p>
      <w:pPr>
        <w:spacing w:after="0"/>
      </w:pP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二、主体工作：MLB 数据分析项目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本周将实践主任务确定为“今井达也应如何重返MLB先发轮值”。我没有从ERA高低直接判断球员好坏，而是先把模糊问题拆成四条可以被数据反驳的路径：球威是否下降、控球是否成为主要瓶颈、球种组合是否过度集中、短局数角色是否真正改善表现。由此预注册五项假设，明确K%、BB%、K-BB%、Zone%、首球好球率、Whiff%、Chase%、球种使用率、Run Value及面对左右打差异等指标，并提前写下“小样本不作因果结论、跨联盟价值指标不直接同尺度比较”的限制。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随后核对公开来源的可得性。MLB部分采用StatsAPI比赛日志、Baseball Savant逐球Statcast、Expected Statistics和Pitch Arsenal；NPB部分采用官方球员页与NPB Basement。资料不仅要能支持结论，还要能够保存为只读快照、记录URL和下载时间，并由脚本重复计算。经过初步核对，今井在2026年已有完整的逐球信息，且7月末发生由先发转入牛棚的角色变化，因而这个题目同时具备数据充足、现实决策明确和可持续更新三项条件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本周形成的首个关键认识是：分析目标不是解释一个已经发生的ERA，而是提出可验收的后续行动。最终交付必须回答“当前困难主要来自哪里”“变速球与四缝线应怎样重组”“牛棚是校准环境还是长期角色”“满足哪些门槛后才能提高先发负荷”。这种从结果评价转向决策设计的框架，决定了后续必须同时报告结果指标、过程指标、样本量与不确定性，而不能只挑选最显眼的数据讲故事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三、本周可核验产出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研究问题与五项预注册假设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八类公开来源登记框架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MLB/NPB指标字典与证据边界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两页正式汇总和完整底稿的交付结构</w:t>
      </w:r>
    </w:p>
    <w:p>
      <w:pPr/>
      <w:r>
        <w:rPr>
          <w:rFonts w:ascii="Times New Roman" w:hAnsi="Times New Roman" w:eastAsia="宋体"/>
          <w:color w:val="000000"/>
          <w:sz w:val="22"/>
        </w:rPr>
        <w:br w:type="page"/>
      </w:r>
    </w:p>
    <w:p>
      <w:pPr>
        <w:pStyle w:val="Heading1"/>
        <w:pageBreakBefore w:val="0"/>
        <w:ind w:left="0" w:right="0"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补充研究与综合反思</w:t>
      </w:r>
    </w:p>
    <w:p>
      <w:pPr>
        <w:widowControl/>
        <w:spacing w:before="40" w:after="80" w:line="324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港科大 IEDA 暑研约占本记录三分之一；主体仍为 MLB 数据分析实践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四、港科大 IEDA 暑研进展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港科大IEDA暑研方面，本周系统学习RLHF、Bradley–Terry奖励建模和DPO，并集中阅读alignment中的reward/policy realizability、misspecification及pair sampling文献。7月14日向Sinian教授进行阶段汇报，使用手写基础推导和《Preference Learning: RLHF &amp; DPO》说明显式奖励学习与直接策略优化的联系和差异。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最重要的思想转折来自Smart Predict-then-Optimize：预测指标更好并不必然带来下游决策更好。迁移到alignment后，问题被改写为“哪个受限奖励模型能诱导目标效用更高的可达策略”，而不是只问哪个reward最接近偏好概率。这个直觉成为后续Prospective Reward Modeling的起点。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五、问题、调整与方法迁移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两条工作线虽然对象不同，但共同要求先定义最终决策，再选择代理指标。棒球项目中，预测球员能力不是终点，重返先发的门槛才是终点；alignment中，偏好拟合不是终点，诱导策略的效用才是终点。本周最大的能力提升，是学会在分析开始前写清楚决策对象、评价口径和可能推翻结论的证据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六、下一阶段安排</w:t>
      </w:r>
    </w:p>
    <w:p>
      <w:pPr>
        <w:widowControl/>
        <w:spacing w:before="100" w:after="80" w:line="324" w:lineRule="auto"/>
        <w:ind w:left="0" w:firstLine="420"/>
        <w:jc w:val="both"/>
      </w:pPr>
      <w:r>
        <w:rPr>
          <w:rFonts w:ascii="Times New Roman" w:hAnsi="Times New Roman" w:eastAsia="宋体"/>
          <w:color w:val="000000"/>
          <w:sz w:val="22"/>
        </w:rPr>
      </w:r>
      <w:r>
        <w:rPr>
          <w:rFonts w:ascii="Times New Roman" w:hAnsi="Times New Roman" w:eastAsia="宋体"/>
          <w:b/>
          <w:color w:val="000000"/>
          <w:sz w:val="22"/>
        </w:rPr>
        <w:t>计划：</w:t>
      </w:r>
      <w:r>
        <w:rPr>
          <w:rFonts w:ascii="Times New Roman" w:hAnsi="Times New Roman" w:eastAsia="宋体"/>
          <w:color w:val="000000"/>
          <w:sz w:val="22"/>
        </w:rPr>
        <w:t>完成MLB原始数据冻结、逐球重建和官方对账；在港科暑研中正式定义reward utility、policy regret与奖励等价类。</w:t>
      </w:r>
    </w:p>
    <w:p>
      <w:pPr>
        <w:spacing w:after="0"/>
      </w:pPr>
    </w:p>
    <w:p>
      <w:pPr>
        <w:keepNext w:val="0"/>
        <w:spacing w:before="60" w:after="100" w:line="252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记录说明：本周材料按研究证据撰写。MLB部分的数字来自冻结数据与脚本复算；港科部分依据阶段汇报、手写推导、第一阶段报告和最终答辩材料。涉及观察性分组、小样本或synthetic-oracle的结论均保留适用边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  <w:ind w:firstLine="420"/>
      <w:jc w:val="both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24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第1周实习记录</dc:title>
  <dc:subject>选题收敛、资料框架与 Alignment 理论奠基</dc:subject>
  <dc:creator>杨炎新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