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200" w:line="324" w:lineRule="auto"/>
        <w:ind w:left="0" w:right="0" w:firstLine="0"/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第2周实习记录</w:t>
      </w:r>
    </w:p>
    <w:p>
      <w:pPr>
        <w:keepNext w:val="0"/>
        <w:widowControl/>
        <w:spacing w:before="0" w:after="160" w:line="324" w:lineRule="auto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24"/>
        </w:rPr>
        <w:t>数据治理、指标复算与 ProRM 理论推导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3100"/>
        <w:gridCol w:w="1500"/>
        <w:gridCol w:w="2900"/>
      </w:tblGrid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姓名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杨炎新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学号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3230102355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实习单位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上海思搏动态智能科技有限公司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联系人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蒋涵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实习期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2026.07.09—09.13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本次截止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2026年8月23日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一、本周目标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数据分析主任务：</w:t>
      </w:r>
      <w:r>
        <w:rPr>
          <w:rFonts w:ascii="Times New Roman" w:hAnsi="Times New Roman" w:eastAsia="宋体"/>
          <w:color w:val="000000"/>
          <w:sz w:val="22"/>
        </w:rPr>
        <w:t>把多来源棒球数据整理成可审计的数据链，并完成结果指标与过程指标的统一复算。</w:t>
      </w:r>
    </w:p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二、主体工作：MLB 数据分析项目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本周重点从“资料能找到”推进到“数字能闭合”。首先固定MLB主分析窗口为2026年3月29日至8月12日，锁定MLBAM编号837227；原始网页、JSON和CSV只读保存在data/raw，清洗后的表写入data/processed，并为17个来源文件记录字节数和SHA-256。StatsAPI用于确认比赛、角色、局数、三振和保送，Statcast用于逐球球种、位置、挥棒与结果，Savant赛季表用于核对xERA和官方球种价值。这样做的目的，是避免动态网页更新后出现“同一句结论、不同一批数据”的漂移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数据清洗时发现原始Statcast共1,241行，其中一条自动坏球事件没有球种标签，因此球种分析使用1,240球；三振、保送和比赛数仍按官方比赛日志核对。脚本重建后得到17场、15次先发、64.2局、80次三振、42次保送和288个打席，四项对账差值均为0。随后计算K%=27.8%、BB%=14.6%、Zone%=43.6%、首球好球率51.7%、Whiff%=32.3%、Chase%=27.2%，并分别按球种、打者侧别、球数、先发/牛棚及面对打线轮次生成处理表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本周还对指标方向进行统一。投手Run Value采用“正值有利于投手”的口径；Whiff%分母为挥棒；Zone%使用规则化好球区；牛棚与先发的比例差异同时报告Wilson区间。NPB的xPV/100和MLB的Run Value/100由于模型与环境不同，只比较各球种在本联盟中的方向，不把数值直接相减。通过这些约束，后续分析可以明确区分原始事实、脚本衍生、外部基准和研究者制定的决策阈值。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三、本周可核验产出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17份原始来源的哈希清单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1,240球逐球分析表和分组表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四项官方对账差值为0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指标方向、分母和跨联盟限制说明</w:t>
      </w:r>
    </w:p>
    <w:p>
      <w:pPr/>
      <w:r>
        <w:rPr>
          <w:rFonts w:ascii="Times New Roman" w:hAnsi="Times New Roman" w:eastAsia="宋体"/>
          <w:color w:val="000000"/>
          <w:sz w:val="22"/>
        </w:rPr>
        <w:br w:type="page"/>
      </w:r>
    </w:p>
    <w:p>
      <w:pPr>
        <w:pStyle w:val="Heading1"/>
        <w:pageBreakBefore w:val="0"/>
        <w:ind w:left="0" w:right="0"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补充研究与综合反思</w:t>
      </w:r>
    </w:p>
    <w:p>
      <w:pPr>
        <w:widowControl/>
        <w:spacing w:before="40" w:after="80" w:line="324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港科大 IEDA 暑研约占本记录三分之一；主体仍为 MLB 数据分析实践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四、港科大 IEDA 暑研进展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港科暑研进入Prospective Reward Modeling理论推导。先定义KL正则策略目标Jβ(π;r)、奖励效用Uβ(r)=Jβ(πrβ;r*)和精确policy regret，再在参考策略π0附近，以score、Fisher矩阵F和reward moment Ar展开策略响应。推导得到局部regret等于Ar与A*之差在F†度量下的二次型。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手写推导进一步把regret解释为奖励误差在policy-visible子空间中的投影：不会改变局部策略更新的误差方向，不应与真正影响决策的误差等量处罚。由此形成奖励等价类、完整可实现、等价类可实现和等价类不可实现三类情形，并提出G-SRM与L-SRM等早期表述，为后续可计算的ProRM目标奠定基础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五、问题、调整与方法迁移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数据治理与理论推导都说明“口径”比公式数量更重要。棒球分析若不固定分母与方向，会得到相互冲突的结论；ProRM若不明确policy class和局部几何，就无法说明什么叫reward error。下一阶段将把两边的抽象定义分别落实为分层诊断和HPC4端到端实验。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六、下一阶段安排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计划：</w:t>
      </w:r>
      <w:r>
        <w:rPr>
          <w:rFonts w:ascii="Times New Roman" w:hAnsi="Times New Roman" w:eastAsia="宋体"/>
          <w:color w:val="000000"/>
          <w:sz w:val="22"/>
        </w:rPr>
        <w:t>围绕控球、球种和角色开展四轮MLB分析循环；在HPC4搭建数据物化、Fisher/PCG、奖励训练、LoRA更新与fresh rollout管线。</w:t>
      </w:r>
    </w:p>
    <w:p>
      <w:pPr>
        <w:spacing w:after="0"/>
      </w:pPr>
    </w:p>
    <w:p>
      <w:pPr>
        <w:keepNext w:val="0"/>
        <w:spacing w:before="60" w:after="100" w:line="252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记录说明：本周材料按研究证据撰写。MLB部分的数字来自冻结数据与脚本复算；港科部分依据阶段汇报、手写推导、第一阶段报告和最终答辩材料。涉及观察性分组、小样本或synthetic-oracle的结论均保留适用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  <w:ind w:firstLine="420"/>
      <w:jc w:val="both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第2周实习记录</dc:title>
  <dc:subject>数据治理、指标复算与 ProRM 理论推导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