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200" w:line="324" w:lineRule="auto"/>
        <w:ind w:left="0" w:right="0" w:firstLine="0"/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第3周实习记录</w:t>
      </w:r>
    </w:p>
    <w:p>
      <w:pPr>
        <w:keepNext w:val="0"/>
        <w:widowControl/>
        <w:spacing w:before="0" w:after="160" w:line="324" w:lineRule="auto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24"/>
        </w:rPr>
        <w:t>分层诊断、反证检验与 HPC4 机制实验搭建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3100"/>
        <w:gridCol w:w="1500"/>
        <w:gridCol w:w="2900"/>
      </w:tblGrid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姓名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杨炎新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学号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3230102355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实习单位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上海思搏动态智能科技有限公司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联系人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蒋涵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实习期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2026.07.09—09.13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本次截止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2026年8月30日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一、本周目标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数据分析主任务：</w:t>
      </w:r>
      <w:r>
        <w:rPr>
          <w:rFonts w:ascii="Times New Roman" w:hAnsi="Times New Roman" w:eastAsia="宋体"/>
          <w:color w:val="000000"/>
          <w:sz w:val="22"/>
        </w:rPr>
        <w:t>用逐层证据检验预注册假设，并主动寻找能够推翻初步叙事的反证。</w:t>
      </w:r>
    </w:p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二、主体工作：MLB 数据分析项目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第一轮分析比较球威与控球。今井MLB K%为27.8%，与NPB 2025完全一致，Whiff% 32.3%也高于Savant同页MLB平均25.0%；但BB%从NPB的7.0%升至14.6%，Zone%和首球好球率分别只有43.6%和51.7%。因此“球威整体消失”不成立，主要瓶颈转向无法稳定取得有利球数。这个结论使行动重点从追求更高球速，改为恢复首球与好球区控制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第二轮分析球种结构。四缝线与滑球合计使用88.9%，滑球45.3%使用、40.6% Whiff、官方+4 Run Value，是可以保留的终结武器。新发现来自NPB对照：2025年变速球使用12.7%、Whiff 41.6%、xPV/100 +1.03，并非尚未成熟的试验球；到MLB却只使用2.3%，均速由84.7升至86.8 mph，与四缝线的速度差由约10.1缩至8.0 mph。因此问题被修正为“重建曾经有效的变速球”，而不是泛泛开发第三球种。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第三、四轮分别拆分打者侧别和角色。四缝线对左打Whiff只有15.4%、RV/100为-1.27，对右打则为+1.47，说明调整应聚焦对左打配套，而不是笼统减少四缝线。两次牛棚登板的Zone%、首球好球率和Whiff%升到46.1%、73.9%和40.0%，但只有89球、23打席，且四缝线均速没有上升。由此只能把牛棚视为积极的校准环境，不能声称短局数导致了确定的因果改善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三、本周可核验产出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四轮假设检验和问题修正日志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控球、球种、侧别、角色四层证据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牛棚23打席的小样本区间与反证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重建对左打变速球的中期方向</w:t>
      </w:r>
    </w:p>
    <w:p>
      <w:pPr/>
      <w:r>
        <w:rPr>
          <w:rFonts w:ascii="Times New Roman" w:hAnsi="Times New Roman" w:eastAsia="宋体"/>
          <w:color w:val="000000"/>
          <w:sz w:val="22"/>
        </w:rPr>
        <w:br w:type="page"/>
      </w:r>
    </w:p>
    <w:p>
      <w:pPr>
        <w:pStyle w:val="Heading1"/>
        <w:pageBreakBefore w:val="0"/>
        <w:ind w:left="0" w:right="0"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补充研究与综合反思</w:t>
      </w:r>
    </w:p>
    <w:p>
      <w:pPr>
        <w:widowControl/>
        <w:spacing w:before="40" w:after="80" w:line="324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港科大 IEDA 暑研约占本记录三分之一；主体仍为 MLB 数据分析实践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四、港科大 IEDA 暑研进展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港科暑研进入HPC4工程阶段。在Slurm与Apptainer环境中适配4×L20节点，使用MultiPref prompts、Qwen2.5-1.5B-Instruct参考策略和Skywork目标奖励。完成6候选、15条pair edges的数据物化，冻结1536维representation，只训练线性reward head，并建立节点估F、边估Ar、matrix-free PCG与五折cross-fitting流程。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策略侧将最后一层q_proj/v_proj的rank-4 LoRA-B作为7168维局部tangent，按β=0.2执行单步natural-gradient更新，再由每个更新后policy在held-out prompts上生成fresh responses。本周完成O/H信号、MLE/MSE/Pro方法组以及direct oracle/reference的初步端到端运行和诊断，为下周冻结三种子实验做准备。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五、问题、调整与方法迁移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本周最重要的是把“验证自己”改为“尝试推翻自己”。棒球部分主动检查第三轮球速、牛棚小样本和跨联盟尺度；HPC4部分则用真实生成后的fresh rollout评价policy，而不是只看训练期reward loss。两边都要求评价链条真正走到下游结果。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六、下一阶段安排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计划：</w:t>
      </w:r>
      <w:r>
        <w:rPr>
          <w:rFonts w:ascii="Times New Roman" w:hAnsi="Times New Roman" w:eastAsia="宋体"/>
          <w:color w:val="000000"/>
          <w:sz w:val="22"/>
        </w:rPr>
        <w:t>把MLB诊断转化为可执行的重返先发门槛并完成正式交付；冻结港科第一阶段三种子配置，汇总73,728条fresh rollout并完成最终答辩。</w:t>
      </w:r>
    </w:p>
    <w:p>
      <w:pPr>
        <w:spacing w:after="0"/>
      </w:pPr>
    </w:p>
    <w:p>
      <w:pPr>
        <w:keepNext w:val="0"/>
        <w:spacing w:before="60" w:after="100" w:line="252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记录说明：本周材料按研究证据撰写。MLB部分的数字来自冻结数据与脚本复算；港科部分依据阶段汇报、手写推导、第一阶段报告和最终答辩材料。涉及观察性分组、小样本或synthetic-oracle的结论均保留适用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  <w:ind w:firstLine="420"/>
      <w:jc w:val="both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>分层诊断、反证检验与 HPC4 机制实验搭建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