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 w:val="0"/>
        <w:widowControl/>
        <w:spacing w:before="0" w:after="200" w:line="324" w:lineRule="auto"/>
        <w:ind w:left="0" w:right="0" w:firstLine="0"/>
        <w:jc w:val="center"/>
      </w:pPr>
      <w:r>
        <w:rPr>
          <w:rFonts w:ascii="Times New Roman" w:hAnsi="Times New Roman" w:eastAsia="宋体"/>
          <w:b/>
          <w:i w:val="0"/>
          <w:color w:val="000000"/>
          <w:sz w:val="22"/>
        </w:rPr>
        <w:t>第4周实习记录</w:t>
      </w:r>
    </w:p>
    <w:p>
      <w:pPr>
        <w:keepNext w:val="0"/>
        <w:widowControl/>
        <w:spacing w:before="0" w:after="160" w:line="324" w:lineRule="auto"/>
        <w:ind w:firstLine="0"/>
        <w:jc w:val="center"/>
      </w:pPr>
      <w:r>
        <w:rPr>
          <w:rFonts w:ascii="Times New Roman" w:hAnsi="Times New Roman" w:eastAsia="黑体"/>
          <w:b w:val="0"/>
          <w:i w:val="0"/>
          <w:color w:val="000000"/>
          <w:sz w:val="24"/>
        </w:rPr>
        <w:t>决策交付、质量审计与港科暑研完整答辩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1500"/>
        <w:gridCol w:w="3100"/>
        <w:gridCol w:w="1500"/>
        <w:gridCol w:w="2900"/>
      </w:tblGrid>
      <w:tr>
        <w:tc>
          <w:tcPr>
            <w:tcW w:type="dxa" w:w="15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40" w:line="264" w:lineRule="auto"/>
              <w:ind w:firstLine="0" w:left="0"/>
            </w:pPr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姓名</w:t>
            </w:r>
          </w:p>
        </w:tc>
        <w:tc>
          <w:tcPr>
            <w:tcW w:type="dxa" w:w="31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40" w:line="264" w:lineRule="auto"/>
              <w:ind w:firstLine="0" w:left="0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杨炎新</w:t>
            </w:r>
          </w:p>
        </w:tc>
        <w:tc>
          <w:tcPr>
            <w:tcW w:type="dxa" w:w="15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40" w:line="264" w:lineRule="auto"/>
              <w:ind w:firstLine="0" w:left="0"/>
            </w:pPr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学号</w:t>
            </w:r>
          </w:p>
        </w:tc>
        <w:tc>
          <w:tcPr>
            <w:tcW w:type="dxa" w:w="29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40" w:line="264" w:lineRule="auto"/>
              <w:ind w:firstLine="0" w:left="0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3230102355</w:t>
            </w:r>
          </w:p>
        </w:tc>
      </w:tr>
      <w:tr>
        <w:tc>
          <w:tcPr>
            <w:tcW w:type="dxa" w:w="15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40" w:line="264" w:lineRule="auto"/>
              <w:ind w:firstLine="0" w:left="0"/>
            </w:pPr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实习单位</w:t>
            </w:r>
          </w:p>
        </w:tc>
        <w:tc>
          <w:tcPr>
            <w:tcW w:type="dxa" w:w="31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40" w:line="264" w:lineRule="auto"/>
              <w:ind w:firstLine="0" w:left="0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上海思搏动态智能科技有限公司</w:t>
            </w:r>
          </w:p>
        </w:tc>
        <w:tc>
          <w:tcPr>
            <w:tcW w:type="dxa" w:w="15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40" w:line="264" w:lineRule="auto"/>
              <w:ind w:firstLine="0" w:left="0"/>
            </w:pPr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联系人</w:t>
            </w:r>
          </w:p>
        </w:tc>
        <w:tc>
          <w:tcPr>
            <w:tcW w:type="dxa" w:w="29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40" w:line="264" w:lineRule="auto"/>
              <w:ind w:firstLine="0" w:left="0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蒋涵</w:t>
            </w:r>
          </w:p>
        </w:tc>
      </w:tr>
      <w:tr>
        <w:tc>
          <w:tcPr>
            <w:tcW w:type="dxa" w:w="15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40" w:line="264" w:lineRule="auto"/>
              <w:ind w:firstLine="0" w:left="0"/>
            </w:pPr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实习期</w:t>
            </w:r>
          </w:p>
        </w:tc>
        <w:tc>
          <w:tcPr>
            <w:tcW w:type="dxa" w:w="31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40" w:line="264" w:lineRule="auto"/>
              <w:ind w:firstLine="0" w:left="0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2026.07.09—09.13</w:t>
            </w:r>
          </w:p>
        </w:tc>
        <w:tc>
          <w:tcPr>
            <w:tcW w:type="dxa" w:w="15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40" w:line="264" w:lineRule="auto"/>
              <w:ind w:firstLine="0" w:left="0"/>
            </w:pPr>
            <w:r>
              <w:rPr>
                <w:rFonts w:ascii="Times New Roman" w:hAnsi="Times New Roman" w:eastAsia="黑体"/>
                <w:b/>
                <w:i w:val="0"/>
                <w:color w:val="000000"/>
                <w:sz w:val="18"/>
              </w:rPr>
              <w:t>本次截止</w:t>
            </w:r>
          </w:p>
        </w:tc>
        <w:tc>
          <w:tcPr>
            <w:tcW w:type="dxa" w:w="29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40" w:line="264" w:lineRule="auto"/>
              <w:ind w:firstLine="0" w:left="0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8"/>
              </w:rPr>
              <w:t>2026年9月6日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100" w:after="80"/>
        <w:ind w:left="0" w:right="0" w:firstLine="0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一、本周目标</w:t>
      </w:r>
    </w:p>
    <w:p>
      <w:pPr>
        <w:widowControl/>
        <w:spacing w:before="100" w:after="80" w:line="324" w:lineRule="auto"/>
        <w:ind w:left="0" w:firstLine="420"/>
        <w:jc w:val="both"/>
      </w:pPr>
      <w:r>
        <w:rPr>
          <w:rFonts w:ascii="Times New Roman" w:hAnsi="Times New Roman" w:eastAsia="宋体"/>
          <w:color w:val="000000"/>
          <w:sz w:val="22"/>
        </w:rPr>
      </w:r>
      <w:r>
        <w:rPr>
          <w:rFonts w:ascii="Times New Roman" w:hAnsi="Times New Roman" w:eastAsia="宋体"/>
          <w:b/>
          <w:color w:val="000000"/>
          <w:sz w:val="22"/>
        </w:rPr>
        <w:t>数据分析主任务：</w:t>
      </w:r>
      <w:r>
        <w:rPr>
          <w:rFonts w:ascii="Times New Roman" w:hAnsi="Times New Roman" w:eastAsia="宋体"/>
          <w:color w:val="000000"/>
          <w:sz w:val="22"/>
        </w:rPr>
        <w:t>把分析结论转化为分阶段行动方案，完成两页汇总、完整底稿、复现与质量审计。</w:t>
      </w:r>
    </w:p>
    <w:p>
      <w:pPr>
        <w:spacing w:after="0"/>
      </w:pPr>
    </w:p>
    <w:p>
      <w:pPr>
        <w:pStyle w:val="Heading1"/>
        <w:keepNext/>
        <w:spacing w:before="100" w:after="80"/>
        <w:ind w:left="0" w:right="0" w:firstLine="0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二、主体工作：MLB 数据分析项目</w:t>
      </w:r>
    </w:p>
    <w:p>
      <w:pPr>
        <w:keepNext w:val="0"/>
        <w:widowControl/>
        <w:spacing w:before="0" w:after="80" w:line="324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本周将诊断结果转成操作路线。阶段A保留1—2局多局牛棚，用3—4周校准四缝线进区、滑球chase区和变速球速度分层；阶段B要求至少连续60个打席同时达到Zone%不低于46%、首球好球率不低于60%、BB%不高于10%，变速球使用逐步恢复到8%—12%并优先面对左打；阶段C按45、60、75球三阶增加负荷，每阶至少两次，检查后半段进区率、四缝线球速和变速球速度差。任一阶段出现BB%重新高于12%、动作退化或右臂疲劳，立即退回前一阶段。</w:t>
      </w:r>
    </w:p>
    <w:p>
      <w:pPr>
        <w:keepNext w:val="0"/>
        <w:widowControl/>
        <w:spacing w:before="0" w:after="80" w:line="324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长期角色不预先写死。若60—75球阶段仍保持健康和过程指标，重返传统先发；若扩大样本后仅第三次面对打线持续失效，再考虑一次打线加、跟随投手或短先发，而不是依据两次牛棚表现永久定型。这个方案把“先发还是后援”的争论改造成可更新的决策树，每个分支都说明需要什么新证据以及什么情况会推翻当前建议。</w:t>
      </w:r>
    </w:p>
    <w:p>
      <w:pPr>
        <w:keepNext w:val="0"/>
        <w:widowControl/>
        <w:spacing w:before="0" w:after="80" w:line="324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交付层面完成A4两页正式汇总、七页完整分析底稿、研究协议、来源登记、假设与AI协作日志、原始和处理数据、分析脚本、两张图表及QA文件。自动审计显示1,240球、80K、42BB和17场四项对账差值均为0，17个来源快照哈希全部一致；Word逐页渲染未发现文字截断、表格破裂和明显字体替换。项目仓库绑定GitHub并保留阶段提交，使结论、代码、数据与报告可以相互追溯。</w:t>
      </w:r>
    </w:p>
    <w:p>
      <w:pPr>
        <w:pStyle w:val="Heading1"/>
        <w:keepNext/>
        <w:spacing w:before="100" w:after="80"/>
        <w:ind w:left="0" w:right="0" w:firstLine="0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三、本周可核验产出</w:t>
      </w:r>
    </w:p>
    <w:p>
      <w:pPr>
        <w:pStyle w:val="ListBullet"/>
      </w:pPr>
      <w:r>
        <w:rPr>
          <w:rFonts w:ascii="Times New Roman" w:hAnsi="Times New Roman" w:eastAsia="宋体"/>
          <w:color w:val="000000"/>
          <w:sz w:val="22"/>
        </w:rPr>
        <w:t>多局牛棚—过程门槛—负荷阶梯—角色分支</w:t>
      </w:r>
    </w:p>
    <w:p>
      <w:pPr>
        <w:pStyle w:val="ListBullet"/>
      </w:pPr>
      <w:r>
        <w:rPr>
          <w:rFonts w:ascii="Times New Roman" w:hAnsi="Times New Roman" w:eastAsia="宋体"/>
          <w:color w:val="000000"/>
          <w:sz w:val="22"/>
        </w:rPr>
        <w:t>两页正式文稿与七页完整分析底稿</w:t>
      </w:r>
    </w:p>
    <w:p>
      <w:pPr>
        <w:pStyle w:val="ListBullet"/>
      </w:pPr>
      <w:r>
        <w:rPr>
          <w:rFonts w:ascii="Times New Roman" w:hAnsi="Times New Roman" w:eastAsia="宋体"/>
          <w:color w:val="000000"/>
          <w:sz w:val="22"/>
        </w:rPr>
        <w:t>数据闭合、哈希、逐页渲染三层QA</w:t>
      </w:r>
    </w:p>
    <w:p>
      <w:pPr>
        <w:pStyle w:val="ListBullet"/>
      </w:pPr>
      <w:r>
        <w:rPr>
          <w:rFonts w:ascii="Times New Roman" w:hAnsi="Times New Roman" w:eastAsia="宋体"/>
          <w:color w:val="000000"/>
          <w:sz w:val="22"/>
        </w:rPr>
        <w:t>GitHub远程仓库与阶段提交记录</w:t>
      </w:r>
    </w:p>
    <w:p>
      <w:pPr/>
      <w:r>
        <w:rPr>
          <w:rFonts w:ascii="Times New Roman" w:hAnsi="Times New Roman" w:eastAsia="宋体"/>
          <w:color w:val="000000"/>
          <w:sz w:val="22"/>
        </w:rPr>
        <w:br w:type="page"/>
      </w:r>
    </w:p>
    <w:p>
      <w:pPr>
        <w:pStyle w:val="Heading1"/>
        <w:pageBreakBefore w:val="0"/>
        <w:ind w:left="0" w:right="0" w:firstLine="0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补充研究与综合反思</w:t>
      </w:r>
    </w:p>
    <w:p>
      <w:pPr>
        <w:widowControl/>
        <w:spacing w:before="40" w:after="80" w:line="324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000000"/>
          <w:sz w:val="22"/>
        </w:rPr>
        <w:t>港科大 IEDA 暑研约占本记录三分之一；主体仍为 MLB 数据分析实践</w:t>
      </w:r>
    </w:p>
    <w:p>
      <w:pPr>
        <w:pStyle w:val="Heading1"/>
        <w:keepNext/>
        <w:spacing w:before="100" w:after="80"/>
        <w:ind w:left="0" w:right="0" w:firstLine="0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四、港科大 IEDA 暑研进展</w:t>
      </w:r>
    </w:p>
    <w:p>
      <w:pPr>
        <w:keepNext w:val="0"/>
        <w:widowControl/>
        <w:spacing w:before="0" w:after="80" w:line="324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港科暑研阶段在本周完整收尾。冻结三独立种子、八个policy、512个held-out prompts和每个prompt六条fresh responses，共汇总73,728条rollout。O-Pro与H-Pro分别在精确margin和有限重复标注组内取得最高正则化效用J；H-Pro与O-Pro均值只差6.83×10⁻⁴。结果显示偏好NLL/MSE排序与下游policy utility排序可能分离，为ProRM机制提供支持。</w:t>
      </w:r>
    </w:p>
    <w:p>
      <w:pPr>
        <w:keepNext w:val="0"/>
        <w:widowControl/>
        <w:spacing w:before="0" w:after="80" w:line="324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同时保留边界：实验使用synthetic oracle、局部二阶理论、冻结representation线性reward head、rank-4 LoRA和单步natural gradient，三个种子只能提供描述性机制证据，不能泛化为真实人类偏好或所有大模型上的普遍优势。最终完成《Prospective Reward Modeling》报告、答辩演示和汇报，暑研阶段完整结束；暑研后的真实策略和更严格扩展实验另行区分。</w:t>
      </w:r>
    </w:p>
    <w:p>
      <w:pPr>
        <w:pStyle w:val="Heading1"/>
        <w:keepNext/>
        <w:spacing w:before="100" w:after="80"/>
        <w:ind w:left="0" w:right="0" w:firstLine="0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五、问题、调整与方法迁移</w:t>
      </w:r>
    </w:p>
    <w:p>
      <w:pPr>
        <w:keepNext w:val="0"/>
        <w:widowControl/>
        <w:spacing w:before="0" w:after="80" w:line="324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2"/>
        </w:rPr>
        <w:t>四周实践使我形成一套一致的方法：先定义下游决策，再冻结数据与口径，随后进行分层诊断、反证检查和完整性审计，最后把结论写成可执行且可被新证据更新的规则。数据分析项目构成主体，港科暑研提供理论与计算深化；两者共同强化了研究问题设计、工程复现和克制表达的能力。</w:t>
      </w:r>
    </w:p>
    <w:p>
      <w:pPr>
        <w:pStyle w:val="Heading1"/>
        <w:keepNext/>
        <w:spacing w:before="100" w:after="80"/>
        <w:ind w:left="0" w:right="0" w:firstLine="0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六、下一阶段安排</w:t>
      </w:r>
    </w:p>
    <w:p>
      <w:pPr>
        <w:widowControl/>
        <w:spacing w:before="100" w:after="80" w:line="324" w:lineRule="auto"/>
        <w:ind w:left="0" w:firstLine="420"/>
        <w:jc w:val="both"/>
      </w:pPr>
      <w:r>
        <w:rPr>
          <w:rFonts w:ascii="Times New Roman" w:hAnsi="Times New Roman" w:eastAsia="宋体"/>
          <w:color w:val="000000"/>
          <w:sz w:val="22"/>
        </w:rPr>
      </w:r>
      <w:r>
        <w:rPr>
          <w:rFonts w:ascii="Times New Roman" w:hAnsi="Times New Roman" w:eastAsia="宋体"/>
          <w:b/>
          <w:color w:val="000000"/>
          <w:sz w:val="22"/>
        </w:rPr>
        <w:t>计划：</w:t>
      </w:r>
      <w:r>
        <w:rPr>
          <w:rFonts w:ascii="Times New Roman" w:hAnsi="Times New Roman" w:eastAsia="宋体"/>
          <w:color w:val="000000"/>
          <w:sz w:val="22"/>
        </w:rPr>
        <w:t>按学校要求整理实习报告、周记和单位材料；对MLB项目保留更新接口，对ProRM在暑研后继续开展真人偏好、真实策略、多轮优化和更大模型验证。</w:t>
      </w:r>
    </w:p>
    <w:p>
      <w:pPr>
        <w:spacing w:after="0"/>
      </w:pPr>
    </w:p>
    <w:p>
      <w:pPr>
        <w:keepNext w:val="0"/>
        <w:spacing w:before="60" w:after="100" w:line="252" w:lineRule="auto"/>
        <w:ind w:firstLine="0"/>
        <w:jc w:val="left"/>
      </w:pPr>
      <w:r>
        <w:rPr>
          <w:rFonts w:ascii="Times New Roman" w:hAnsi="Times New Roman" w:eastAsia="宋体"/>
          <w:b w:val="0"/>
          <w:i w:val="0"/>
          <w:color w:val="000000"/>
          <w:sz w:val="18"/>
        </w:rPr>
        <w:t>记录说明：本周材料按研究证据撰写。MLB部分的数字来自冻结数据与脚本复算；港科部分依据阶段汇报、手写推导、第一阶段报告和最终答辩材料。涉及观察性分组、小样本或synthetic-oracle的结论均保留适用边界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304" w:bottom="1134" w:left="1304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  <w:jc w:val="center"/>
    </w:pPr>
    <w:r>
      <w:rPr>
        <w:rFonts w:ascii="Times New Roman" w:hAnsi="Times New Roman" w:eastAsia="宋体"/>
        <w:color w:val="000000"/>
        <w:sz w:val="18"/>
      </w:rPr>
      <w:t xml:space="preserve">第 </w:t>
    </w:r>
    <w:fldSimple w:instr="PAGE"/>
    <w:r>
      <w:rPr>
        <w:rFonts w:ascii="Times New Roman" w:hAnsi="Times New Roman" w:eastAsia="宋体"/>
        <w:color w:val="00000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24" w:lineRule="auto"/>
      <w:ind w:firstLine="420"/>
      <w:jc w:val="both"/>
    </w:pPr>
    <w:rPr>
      <w:rFonts w:ascii="Times New Roman" w:hAnsi="Times New Roman" w:eastAsia="宋体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ind w:firstLine="0" w:left="0"/>
      <w:jc w:val="left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ind w:firstLine="0" w:left="0"/>
      <w:jc w:val="left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ind w:firstLine="0" w:left="0"/>
      <w:jc w:val="left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 w:before="0"/>
      <w:contextualSpacing/>
      <w:jc w:val="center"/>
    </w:pPr>
    <w:rPr>
      <w:rFonts w:asciiTheme="majorHAnsi" w:eastAsiaTheme="majorEastAsia" w:hAnsiTheme="majorHAnsi" w:cstheme="majorBidi"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324" w:lineRule="auto"/>
      <w:ind w:left="420" w:hanging="210"/>
      <w:contextualSpacing/>
    </w:pPr>
    <w:rPr>
      <w:rFonts w:ascii="Times New Roman" w:hAnsi="Times New Roman" w:eastAsia="宋体"/>
      <w:b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324" w:lineRule="auto"/>
      <w:ind w:left="420" w:hanging="210"/>
      <w:contextualSpacing/>
    </w:pPr>
    <w:rPr>
      <w:rFonts w:ascii="Times New Roman" w:hAnsi="Times New Roman" w:eastAsia="宋体"/>
      <w:b w:val="0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第4周实习记录</dc:title>
  <dc:subject>决策交付、质量审计与港科暑研完整答辩</dc:subject>
  <dc:creator>杨炎新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