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6"/>
        </w:rPr>
        <w:t>今井达也MLB调整与角色评估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完整分析底稿：数据、口径、反证与执行方案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杨炎新（3230102355）　｜　研究冻结日：2026年8月12日　｜　项目：MLB-Analytics</w:t>
      </w:r>
    </w:p>
    <w:p>
      <w:pPr>
        <w:pStyle w:val="Heading1"/>
      </w:pPr>
      <w:r>
        <w:t>摘要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本研究回答课程问题“今井达也在MLB应如何调整和发展”。分析不以ERA单项结果倒推能力，而将问题拆成球威、控球、球种结构、打者侧别和角色负荷五条可检验路径。主样本为2026年3月29日至8月12日的17场MLB比赛、288个打席和1,240个带球种标签的Statcast投球，比较基准为今井2018—2025年的NPB官方统计及2023—2025年球种数据。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结果显示，本窗口内今井的三振、挥空和四缝线均速未明显下降，表现恶化主要伴随保送率翻倍，且Zone%与首球好球率低于Savant同页MLB平均。滑球仍是正向核心武器；2025年在NPB稳定使用的变速球到MLB后使用率从12.7%降至2.3%，速度分层也缩小。四缝线风险集中于左打者。两次牛棚登板的过程指标方向积极，但只有23个打席，不能据此判断永久后援更优。建议将多局牛棚作为短期校准环境，重建对左打变速球，并以最近连续60个打席的过程门槛和45、60、75球负荷阶梯决定重返先发时点。</w:t>
      </w:r>
    </w:p>
    <w:p>
      <w:pPr>
        <w:pStyle w:val="Heading1"/>
      </w:pPr>
      <w:r>
        <w:t>一、研究问题与判断框架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冻结窗口内，今井ERA为5.29，xERA为4.89。单看结果，可以得到很多互相竞争的解释：球威不适应MLB、控球回退、二球种依赖、第三次面对打线疲劳，或者转牛棚更合适。若只比较赛季总表，这些解释都能找到支持，却无法告诉球队下一步先做什么。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研究因此把课程题目改写为四个决策问题：</w:t>
      </w:r>
    </w:p>
    <w:p>
      <w:pPr>
        <w:pStyle w:val="ListBullet"/>
        <w:spacing w:before="0" w:after="30" w:line="302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当前困难的首要来源是球威、控制、配球结构还是先发负荷？</w:t>
      </w:r>
    </w:p>
    <w:p>
      <w:pPr>
        <w:pStyle w:val="ListBullet"/>
        <w:spacing w:before="0" w:after="30" w:line="302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哪些调整应针对左、右打者和不同球数情境？</w:t>
      </w:r>
    </w:p>
    <w:p>
      <w:pPr>
        <w:pStyle w:val="ListBullet"/>
        <w:spacing w:before="0" w:after="30" w:line="302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牛棚应被视为长期角色，还是用于重新校准的过渡环境？</w:t>
      </w:r>
    </w:p>
    <w:p>
      <w:pPr>
        <w:pStyle w:val="ListBullet"/>
        <w:spacing w:before="0" w:after="30" w:line="302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球队应依据哪些可观察条件提高先发负荷？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在分组分析前，先记录五项假设。H1认为K%、Whiff%和四缝线均速不会同时下滑；H2认为Zone%、首球好球率和BB%是主要损失来源；H3认为四缝线与滑球的集中使用在侧别上存在不对称；H4认为缩短任务可能改善执行，但牛棚小样本只能提供阶段证据；H5认为第三球种应结合NPB历史成熟度、速度分层和打者侧别判断。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每项假设都保留相反条件。如果K%、Whiff和四缝线球速同步下降，H1应被推翻；如果牛棚置信区间很宽，就不能从两次登板推导角色因果；如果第三轮球速和结果没有恶化，则不采用“第三轮必然崩盘”的预设叙事。</w:t>
      </w:r>
    </w:p>
    <w:p>
      <w:pPr>
        <w:pStyle w:val="Heading1"/>
      </w:pPr>
      <w:r>
        <w:t>二、数据与方法</w:t>
      </w:r>
    </w:p>
    <w:p>
      <w:pPr>
        <w:pStyle w:val="Heading2"/>
      </w:pPr>
      <w:r>
        <w:t>2.1 数据来源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MLB StatsAPI用于比赛日志、先发/牛棚角色、局数、三振和保送核对。Baseball Savant Statcast Search提供逐球球种、位置、球数、挥棒和结果；Expected Statistics与Pitch Arsenal用于核对xERA、球种使用率、Whiff、wOBA/xwOBA和官方Run Value。两篇MLB.com报道只用于确认伤情和转牛棚的时间背景。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NPB官方球员页用于核对2018—2025年的传统统计，第三方网站NPB Basement提供2023—2025年的高级投球与球种数据。跨联盟比较只回答“球种是否曾经成熟”“使用和速度层是否发生结构变化”，不把NPB xPV/100与MLB Run Value/100直接相减。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330"/>
        <w:gridCol w:w="2540"/>
        <w:gridCol w:w="2540"/>
        <w:gridCol w:w="2662"/>
      </w:tblGrid>
      <w:tr>
        <w:trPr>
          <w:tblHeader w:val="true"/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来源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主要字段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分析用途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使用限制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 StatsAPI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场次、角色、局数、K、BB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官方结果闭合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不含完整逐球位置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Statcast/Savant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球种、坐标、挥棒、结果、xERA、RV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逐球与球种分析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自动事件、小样本需核对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NPB官方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赛季传统统计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职业基准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粒度较低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 Basement（第三方）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高级指标、球种、球速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判断历史成熟度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非官方；与MLB价值模型不同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MLB.com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伤情、角色背景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确认分析语境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不作数值证据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2"/>
      </w:pPr>
      <w:r>
        <w:t>2.2 数据冻结与清洗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17份原始文件均保存在data/raw，并记录URL、下载时间、字节数和SHA-256；清洗结果写入data/processed。默认分析不重新访问动态网页，保证同一结论对应同一批数据。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Statcast原文件有1,241行，其中一条自动坏球事件没有球种标签。原始行保留，球种分析使用其余1,240行。三振、保送、比赛数和角色继续以StatsAPI为基准。逐球数1,240、三振80、保送42、比赛17四项均与官方参考一致，差值为0。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分析单位分成比赛、打席与逐球。17场比赛用于角色和局数，288个打席用于K%、BB%与角色比较，1,240个投球用于球种、球数、侧别和挥棒。不同层次不相互替代。</w:t>
      </w:r>
    </w:p>
    <w:p>
      <w:pPr>
        <w:pStyle w:val="Heading2"/>
      </w:pPr>
      <w:r>
        <w:t>2.3 指标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K%=三振/打席，BB%=保送/打席，K-BB%=K%−BB%。Zone%按Statcast的zone字段1—9判定；首球好球率以每个打席第一球为单位；Whiff%=挥空/挥棒；Chase%=好球区外挥棒/区外投球。球种Run Value采用投手视角，正值有利；RV/100只在相同环境和口径内比较。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角色由比赛日志的starter标记确定。面对打线轮次直接使用Statcast字段n_thruorder_pitcher，只用于描述。牛棚23个打席和MLB变速球29球均显示样本量，比例差异结合Wilson区间解释。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330"/>
        <w:gridCol w:w="1209"/>
        <w:gridCol w:w="1209"/>
        <w:gridCol w:w="2661"/>
        <w:gridCol w:w="2663"/>
      </w:tblGrid>
      <w:tr>
        <w:trPr>
          <w:tblHeader w:val="true"/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分子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分母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冻结结果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主要输出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K%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80次三振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288打席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27.8%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BB%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42次保送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288打席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14.6%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Zone%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zone为1—9的541球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1,240球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43.6%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Whiff%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175次逐球定义下的挥空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542次挥棒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32.3%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mlb_pitch_type_summary.csv及汇总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首球好球率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149个好球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288个打席首球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51.7%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三、分析结果</w:t>
      </w:r>
    </w:p>
    <w:p>
      <w:pPr>
        <w:pStyle w:val="Heading2"/>
      </w:pPr>
      <w:r>
        <w:t>3.1 球威保留，控制球数成为第一瓶颈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今井MLB K%为27.8%，与NPB 2025相同；Whiff%为32.3%，高于Savant同页25.0%的MLB平均。四缝线均速94.86 mph，和NPB 2025的94.87 mph近乎一致。三项证据均不支持球威整体消失。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幅度最大的变化在保送。BB%从7.0%升到14.6%，K-BB%由20.7%降到13.2%；Zone%为43.6%，首球好球率51.7%，低于同页MLB平均。Chase%为27.2%，接近平均，说明打者没有因为异常追坏球而替今井扩大好球区。今井仍能制造挥空，却更难在打席早期取得优势，深球数与免费上垒随之增加。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训练重点应从额外球速转向可控进区。公开数据只能指出首球、进区和滑球坏球质量需要检查，具体位置目标应由投手教练结合捕手设定和球路移动验证。Zone%不能代替位置质量，但在当前保送规模下，球数控制比增加强度更急迫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core_diagno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图1  NPB 2025与MLB 2026核心诊断</w:t>
      </w:r>
    </w:p>
    <w:p>
      <w:pPr>
        <w:pStyle w:val="Heading2"/>
      </w:pPr>
      <w:r>
        <w:t>3.2 高集中度的核心不是滑球过多，而是变速球消失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MLB中滑球使用45.3%，四缝线43.5%，合计88.9%。滑球Whiff为40.6%、xwOBA为.274、官方Run Value为+4，属于可以继续围绕的核心武器。四缝线整体Run Value为−1，需要调整，但不能只凭总值全面弃用。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NPB 2025变速球使用12.7%、Whiff 41.6%、xPV/100为+1.03，表明它不是尚未成型的尝试。到MLB后，变速球只投29球，使用率为2.3%。均速由84.7 mph升到86.8 mph，而四缝线仍约94.9 mph，两者速度差从10.1 mph缩到8.0 mph。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29球的MLB Whiff和接触结果不能外推；62.5%的Whiff来自8次挥棒中的5次。可以确认的是使用率下降与速度层收窄。研究问题因此从“开发一个第三球种”修正为“恢复一颗曾经成熟的变速球”。握法、释放、位移和球路衔接属于教练组需要补测的假设；比赛中可把使用率逐步提高到8%—12%，同时观察速度差、落点、移动与接触质量。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744"/>
        <w:gridCol w:w="1628"/>
        <w:gridCol w:w="1628"/>
        <w:gridCol w:w="1744"/>
        <w:gridCol w:w="2328"/>
      </w:tblGrid>
      <w:tr>
        <w:trPr>
          <w:tblHeader w:val="true"/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环境/球种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使用率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均速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Whiff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 2025变速球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12.7%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84.7 mph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41.6%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已有稳定使用和正向价值</w:t>
            </w:r>
          </w:p>
        </w:tc>
      </w:tr>
      <w:tr>
        <w:trPr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 2026变速球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2.3%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86.8 mph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62.5%（5/8次挥棒；共29球）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样本过小，可信的是使用骤降</w:t>
            </w:r>
          </w:p>
        </w:tc>
      </w:tr>
      <w:tr>
        <w:trPr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MLB滑球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45.3%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40.6%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核心终结球，官方RV +4</w:t>
            </w:r>
          </w:p>
        </w:tc>
      </w:tr>
      <w:tr>
        <w:trPr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MLB四缝线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43.5%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94.9 mph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19.6%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总值接近中性，需按侧别拆分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2"/>
      </w:pPr>
      <w:r>
        <w:t>3.3 四缝线问题集中于左打者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四缝线面对左打311球，Whiff为15.4%，RV/100为−1.27；面对右打229球，Whiff为27.0%，RV/100为+1.47。滑球对左、右打的RV/100分别为+0.98和+0.11，方向均为正。总球种表掩盖了四缝线的侧别差异。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因此，对右打可以保留四缝线和滑球的主要结构；对左打先减少可预期的四缝线使用，并让投手教练核对其位置分布。变速球可先在左打情境逐步恢复，再根据位置、速度差、移动、挥空与接触质量决定是否扩大。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球数分组没有被转成固定暗号。满球数和投手领先等小组受位置、选择和极小样本影响，不适合写成“某球数只投某球种”。训练目标应是建立三种球在不同情境下的可执行边界。</w:t>
      </w:r>
    </w:p>
    <w:p>
      <w:pPr>
        <w:pStyle w:val="Heading2"/>
      </w:pPr>
      <w:r>
        <w:t>3.4 牛棚提供校准信号，尚未决定长期角色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15次先发共1,151球、265个打席，Zone%、首球好球率和Whiff%分别为43.4%、49.8%和31.6%；两次牛棚共89球、23个打席，相应为46.1%、73.9%和40.0%，Chase%也从26.4%升至37.5%。方向上看，短任务可能帮助今井更主动进入好球区。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样本和替代解释却不能忽略。23个打席使比例区间很宽，角色变化还与伤病恢复、日期、对手和比赛情境同时发生。四缝线均速从先发94.87 mph略降到牛棚94.72 mph，不支持“牛棚必然提高球速”。面对打线第三轮的161球也没有明显球速下降，结果价值为正，至少否定了“第三轮必然崩盘”的简单叙事。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8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role_plato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图2  先发与牛棚过程指标、球种侧别结果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牛棚更适合作为降低任务复杂度的校准环境。它允许投手集中练习首球、进区和对左打变速球，同时保留比赛强度。长期角色应在扩大样本和提高负荷后判断。</w:t>
      </w:r>
    </w:p>
    <w:p>
      <w:pPr>
        <w:pStyle w:val="Heading1"/>
      </w:pPr>
      <w:r>
        <w:t>四、决策建议</w:t>
      </w:r>
    </w:p>
    <w:p>
      <w:pPr>
        <w:pStyle w:val="Heading2"/>
      </w:pPr>
      <w:r>
        <w:t>4.1 阶段A：3—4周校准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健康检查通过后，每次承担1—2局多局牛棚，固定热身、休息和出手节奏。公开数据支持优先检查四缝线进区、滑球坏球质量和变速球速度层；具体位置与动作目标由投手教练结合内部数据确定。变速球速度差不应继续低于约8 mph，并可尝试向9—10 mph恢复，使用率从当前水平逐步提高，优先面对左打。任何右臂疲劳或动作退化都停止负荷升级。</w:t>
      </w:r>
    </w:p>
    <w:p>
      <w:pPr>
        <w:pStyle w:val="Heading2"/>
      </w:pPr>
      <w:r>
        <w:t>4.2 阶段B：连续60打席过程门槛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至少连续60个打席同时满足Zone%不低于46%、首球好球率不低于60%、BB%不高于10%。变速球使用率目标为8%—12%，速度差保持在约8 mph以上并争取接近9—10 mph，位置、移动和接触质量不能同时恶化。这些数值是结合公开平均、NPB历史和牛棚初始信号制定的暂定管理规则，并非由23个打席拟合出的真实能力切点。</w:t>
      </w:r>
    </w:p>
    <w:p>
      <w:pPr>
        <w:pStyle w:val="Heading2"/>
      </w:pPr>
      <w:r>
        <w:t>4.3 阶段C：45、60、75球负荷阶梯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通过过程门槛后，按45、60、75球逐级增加负荷，每阶至少两次。除总结果外，比较前后半段Zone%、首球好球率、四缝线球速和变速球速度差。若BB%重新超过12%、动作退化或出现疲劳，退回上一阶段。</w:t>
      </w:r>
    </w:p>
    <w:p>
      <w:pPr>
        <w:pStyle w:val="Heading2"/>
      </w:pPr>
      <w:r>
        <w:t>4.4 阶段D：长期角色分支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60—75球仍保持健康和过程稳定，可以回到传统先发。若扩大样本后前两轮稳定而第三轮持续失效，可使用一次打线加、跟随投手或四至五局短先发。若控球在牛棚阶段也无法恢复，应重新评估健康、动作与握法，而不是用更多滑球掩盖进区问题。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296"/>
        <w:gridCol w:w="2851"/>
        <w:gridCol w:w="2592"/>
        <w:gridCol w:w="2333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任务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升级条件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失败处理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 校准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多局牛棚、三球种重组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健康稳定、变速球逐步恢复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复查健康、动作和握法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 过程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连续≥60打席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Zone≥46%、首球≥60%、BB≤10%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继续校准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C 负荷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45→60→75球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后半段执行与球速稳定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退回前一阶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D 角色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扩大样本判断轮次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60—75球稳定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短先发或一次打线加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五、替代解释与风险控制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ERA受防守、时序和偶发长打影响，因此分析同时报告xERA、K-BB%和过程指标。xERA也不是无误差真值，行动判断主要依赖能够在训练中复查的Zone、首球、BB，以及球队内部能够补充的球路移动和位置数据。过程改善而短期ERA仍波动时，不应立即放弃校准；ERA改善但过程仍差时，也不能认为问题已经解决。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伤病和时间趋势是角色比较中最大的混杂。转入牛棚与恢复阶段相互重叠，公开数据无法分离健康变化和角色变化。决策树将健康置于第一门禁，任何疼痛、疲劳或动作异常都优先停止负荷升级，统计门槛不能替代医疗评估。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跨联盟比较只用于结构。NPB与MLB有不同的比赛用球、球场、打者和追踪模型，变速球速度差也不能完整代表球种形态。若未来取得同口径的释放点、旋转和位移数据，应重新检查速度层变化是否伴随隧道和运动方向改变。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角色、变速球和第三轮样本均有限。新比赛进入后，应使用相同分母和分组重算，再检查哪项决策条件改变。若数据字段或追踪定义变化，则从清洗环节重做；不能只替换报告中的ERA而保留旧结论。</w:t>
      </w:r>
    </w:p>
    <w:p>
      <w:pPr>
        <w:pStyle w:val="Heading1"/>
      </w:pPr>
      <w:r>
        <w:t>六、结论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本窗口内，今井的K%、Whiff%和四缝线均速未明显下降。当前最先需要解决的是过多保送和早期球数控制，而非追求额外球速。球种调整的重点是恢复2025年已经成熟的变速球，并优先服务于左打方案。滑球继续作为终结球，四缝线按侧别调整位置和使用。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两次牛棚登板支持短期校准，却不足以决定永久角色。更稳妥的路径是先在多局牛棚恢复过程指标，再通过连续60打席门槛和45—60—75球负荷阶梯返回先发。这样，角色选择不由一场ERA或一次高光决定，而由健康、控球、球种质量和扩大样本后的轮次表现共同更新。</w:t>
      </w:r>
    </w:p>
    <w:p>
      <w:pPr>
        <w:pStyle w:val="Heading1"/>
      </w:pPr>
      <w:r>
        <w:t>七、复现与来源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冻结研究从data/raw开始运行python scripts/run_pipeline.py，依次生成处理表、图表、公开报告和自动验证结果。动态更新必须运行python scripts/run_pipeline.py --refresh-data，并建立新的截止日和来源清单；单元测试使用python -m unittest discover -s tests -v。对账结果见qa/data_reconciliation.csv，核心数字见data/processed/analysis_summary.json，假设和结论变化见docs/research/hypothesis_log.md与docs/research/analysis_cycle_results.md。</w:t>
      </w:r>
    </w:p>
    <w:p>
      <w:pPr>
        <w:spacing w:line="326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主要来源：MLB StatsAPI；Baseball Savant Statcast Search、Expected Statistics与Pitch Arsenal；NPB官方球员页；第三方网站NPB Basement；MLB.com 2026年5月31日及7月31日报道。完整URL、下载时间、本地文件名和SHA-256见docs/research/source_register.md与data/raw/source_manifest.csv。公开仓库为https://github.com/youth-flow/MLB-Analytics ，本稿对应的最终分析commit为9c8033d。</w:t>
      </w:r>
    </w:p>
    <w:sectPr w:rsidR="00FC693F" w:rsidRPr="0006063C" w:rsidSect="00034616">
      <w:footerReference w:type="default" r:id="rId9"/>
      <w:pgSz w:w="11906" w:h="16838"/>
      <w:pgMar w:top="1361" w:right="1417" w:bottom="1332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6" w:lineRule="auto" w:before="0" w:after="0"/>
      <w:ind w:firstLine="460"/>
      <w:jc w:val="both"/>
    </w:pPr>
    <w:rPr>
      <w:rFonts w:ascii="Times New Roman" w:hAnsi="Times New Roman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今井达也MLB调整与角色评估</dc:title>
  <dc:subject/>
  <dc:creator>杨炎新</dc:creator>
  <cp:keywords/>
  <dc:description/>
  <cp:lastModifiedBy>杨炎新</cp:lastModifiedBy>
  <cp:revision>1</cp:revision>
  <dcterms:created xsi:type="dcterms:W3CDTF">2026-08-15T15:07:59Z</dcterms:created>
  <dcterms:modified xsi:type="dcterms:W3CDTF">2026-08-15T15:07:59Z</dcterms:modified>
  <cp:category/>
  <dc:identifier/>
  <dc:language>zh-CN</dc:language>
  <cp:version>1.0</cp:version>
</cp:coreProperties>
</file>