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底稿04　复现与交付核查说明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冻结数据、自动校验、逐页检查与工具记录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项目：MLB-Analytics　｜　数据截止：2026年8月12日　｜　最终版本：9c8033d</w:t>
      </w:r>
    </w:p>
    <w:p>
      <w:pPr>
        <w:pStyle w:val="Heading1"/>
      </w:pPr>
      <w:r>
        <w:t>一、离线复现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项目默认读取data/raw中的17份冻结快照，不主动访问网络。环境为Python 3.12；主要依赖固定在requirements.txt，包括numpy 2.3.5、pandas 3.0.1、python-docx 1.2.0、lxml 6.1.1和pypdf 6.10.0。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进入MLB-Analytics目录后运行：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python scripts/run_pipeline.py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该命令依次完成分析、报告生成和自动校验。单元测试另行运行：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python -m unittest discover -s tests -v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只有需要建立新的赛季窗口时才运行python scripts/run_pipeline.py --refresh-data。联网刷新会改变下载时间和网页内容，因此必须同时更新截止日、来源清单、处理表和报告，不能继续引用旧窗口。</w:t>
      </w:r>
    </w:p>
    <w:p>
      <w:pPr>
        <w:pStyle w:val="Heading1"/>
      </w:pPr>
      <w:r>
        <w:t>二、自动校验状态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截至最终commit 9c8033d，本地main与origin/main一致；GitHub Actions run 31870800186成功。qa/integrity_report.json记录默认离线自动结果，严格视觉结果写入qa/local_visual_report.json；两类结果的职责分开。核查摘要如下：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10"/>
        <w:gridCol w:w="4621"/>
        <w:gridCol w:w="2311"/>
      </w:tblGrid>
      <w:tr>
        <w:trPr>
          <w:tblHeader w:val="true"/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检查项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来源哈希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17份原始快照与manifest逐字节比较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数据对账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1,240球、80K、42BB、17场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四项差值0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核心结果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冻结数字断言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公开Word结构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A4、标题、字体、朴素样式和嵌图；正式稿首段加粗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公开文件隐私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24份文件扫描姓名、学号等信息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未发现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产物清单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45项、顺序确定、无缓存路径泄漏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单元测试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离线流程、完整性和报告结构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12项通过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远程CI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Windows下离线重建与byte-stable检查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两份仓库公开Word使用LibreOffice 26.2.5.2渲染为150 dpi逐页图：课程正式稿2页，完整分析底稿10页。逐页检查未发现截断、重叠、乱码和异常分页；曾出现的来源孤页已消除。qa/visual_review_receipt.json记录页数、文件哈希、审阅时间和检查项；运行python scripts/verify_project.py --require-visual后，render_verification=passed、manual_visual_qa=reviewed、submission_ready=true。</w:t>
      </w:r>
    </w:p>
    <w:p>
      <w:pPr>
        <w:pStyle w:val="Heading1"/>
      </w:pPr>
      <w:r>
        <w:t>三、推断限制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Zone%按Statcast zone字段1—9计算，不代表具体位置质量。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先发与牛棚不是随机实验；23个牛棚打席不能给出角色因果。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MLB变速球只有29球，62.5% Whiff来自5/8次挥棒，不能外推长期效果。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NPB与MLB环境和价值模型不同，NPB xPV/100不与MLB Run Value/100直接相减。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面对打线轮次先筛选先发，再直接使用n_thruorder_pitcher，只作描述。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医疗、握法和动作信息不在公开数据中；统计阈值不能替代球队评估。</w:t>
      </w:r>
    </w:p>
    <w:p>
      <w:pPr>
        <w:pStyle w:val="Heading1"/>
      </w:pPr>
      <w:r>
        <w:t>四、生成式工具记录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次课程允许使用生成式工具，并要求保留过程。工具参与了公开资料抓取、代码编写、计算、初稿分析和Word排版；模型输出本身没有被当作事实来源。数值证据回到冻结快照、处理表或正式网页，观察性分组没有改写成因果，未取得的球队内部信息没有补写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最初任务及后续提示记录在docs/research/ai_prompt_log.md，判断变化记录在docs/research/hypothesis_log.md与docs/research/analysis_cycle_results.md。本轮成稿逐项核对了分母、样本量、来源、观察性边界和建议；最终是否提交仍由提交者阅读确认并承担责任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862"/>
        <w:gridCol w:w="2710"/>
        <w:gridCol w:w="3450"/>
        <w:gridCol w:w="2220"/>
      </w:tblGrid>
      <w:tr>
        <w:trPr>
          <w:tblHeader w:val="true"/>
          <w:cantSplit/>
        </w:trPr>
        <w:tc>
          <w:tcPr>
            <w:tcW w:type="dxa" w:w="8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步骤</w:t>
            </w:r>
          </w:p>
        </w:tc>
        <w:tc>
          <w:tcPr>
            <w:tcW w:type="dxa" w:w="2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关键提示/任务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工具阶段总结</w:t>
            </w:r>
          </w:p>
        </w:tc>
        <w:tc>
          <w:tcPr>
            <w:tcW w:type="dxa" w:w="2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最终复核重点</w:t>
            </w:r>
          </w:p>
        </w:tc>
      </w:tr>
      <w:tr>
        <w:trPr>
          <w:cantSplit/>
        </w:trPr>
        <w:tc>
          <w:tcPr>
            <w:tcW w:type="dxa" w:w="8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 选题</w:t>
            </w:r>
          </w:p>
        </w:tc>
        <w:tc>
          <w:tcPr>
            <w:tcW w:type="dxa" w:w="2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阅读课程PDF，依据题目、指标和数据源确定选题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选择题目二，收敛为控球、球种与角色决策</w:t>
            </w:r>
          </w:p>
        </w:tc>
        <w:tc>
          <w:tcPr>
            <w:tcW w:type="dxa" w:w="2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题目与课程要求是否一致</w:t>
            </w:r>
          </w:p>
        </w:tc>
      </w:tr>
      <w:tr>
        <w:trPr>
          <w:cantSplit/>
        </w:trPr>
        <w:tc>
          <w:tcPr>
            <w:tcW w:type="dxa" w:w="8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 授权研究</w:t>
            </w:r>
          </w:p>
        </w:tc>
        <w:tc>
          <w:tcPr>
            <w:tcW w:type="dxa" w:w="2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贯通资源获取、分析、问题发现、结论与迭代全流程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采用公开数据，保存快照、代码、哈希、假设和底稿</w:t>
            </w:r>
          </w:p>
        </w:tc>
        <w:tc>
          <w:tcPr>
            <w:tcW w:type="dxa" w:w="2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是否存在未取得却被写入的事实</w:t>
            </w:r>
          </w:p>
        </w:tc>
      </w:tr>
      <w:tr>
        <w:trPr>
          <w:cantSplit/>
        </w:trPr>
        <w:tc>
          <w:tcPr>
            <w:tcW w:type="dxa" w:w="8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 数据冻结</w:t>
            </w:r>
          </w:p>
        </w:tc>
        <w:tc>
          <w:tcPr>
            <w:tcW w:type="dxa" w:w="2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建立项目并绑定GitHub，阶段性推送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留存MLB、Savant、NPB与报道共17份快照</w:t>
            </w:r>
          </w:p>
        </w:tc>
        <w:tc>
          <w:tcPr>
            <w:tcW w:type="dxa" w:w="2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URL、截止日、SHA-256</w:t>
            </w:r>
          </w:p>
        </w:tc>
      </w:tr>
      <w:tr>
        <w:trPr>
          <w:cantSplit/>
        </w:trPr>
        <w:tc>
          <w:tcPr>
            <w:tcW w:type="dxa" w:w="8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 初步诊断</w:t>
            </w:r>
          </w:p>
        </w:tc>
        <w:tc>
          <w:tcPr>
            <w:tcW w:type="dxa" w:w="2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检查高ERA是否代表球威不足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K%保持，BB%、Zone与首球更值得优先处理</w:t>
            </w:r>
          </w:p>
        </w:tc>
        <w:tc>
          <w:tcPr>
            <w:tcW w:type="dxa" w:w="2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分子、分母和联盟口径</w:t>
            </w:r>
          </w:p>
        </w:tc>
      </w:tr>
      <w:tr>
        <w:trPr>
          <w:cantSplit/>
        </w:trPr>
        <w:tc>
          <w:tcPr>
            <w:tcW w:type="dxa" w:w="8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 球种修正</w:t>
            </w:r>
          </w:p>
        </w:tc>
        <w:tc>
          <w:tcPr>
            <w:tcW w:type="dxa" w:w="2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判断是否需要开发第三球种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改为恢复NPB已有变速球；四缝线风险集中左打</w:t>
            </w:r>
          </w:p>
        </w:tc>
        <w:tc>
          <w:tcPr>
            <w:tcW w:type="dxa" w:w="2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29球小样本与速度差逻辑</w:t>
            </w:r>
          </w:p>
        </w:tc>
      </w:tr>
      <w:tr>
        <w:trPr>
          <w:cantSplit/>
        </w:trPr>
        <w:tc>
          <w:tcPr>
            <w:tcW w:type="dxa" w:w="8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 角色反证</w:t>
            </w:r>
          </w:p>
        </w:tc>
        <w:tc>
          <w:tcPr>
            <w:tcW w:type="dxa" w:w="2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判断牛棚是否已经解决问题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23打席只能支持短期校准，不给出角色因果</w:t>
            </w:r>
          </w:p>
        </w:tc>
        <w:tc>
          <w:tcPr>
            <w:tcW w:type="dxa" w:w="2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Wilson区间、混杂因素和第三轮</w:t>
            </w:r>
          </w:p>
        </w:tc>
      </w:tr>
      <w:tr>
        <w:trPr>
          <w:cantSplit/>
        </w:trPr>
        <w:tc>
          <w:tcPr>
            <w:tcW w:type="dxa" w:w="8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7 成稿检查</w:t>
            </w:r>
          </w:p>
        </w:tc>
        <w:tc>
          <w:tcPr>
            <w:tcW w:type="dxa" w:w="2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形成两页稿、完整底稿和复现项目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自动校验与人工视觉分开记录</w:t>
            </w:r>
          </w:p>
        </w:tc>
        <w:tc>
          <w:tcPr>
            <w:tcW w:type="dxa" w:w="2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字体、页数、截断和结论措辞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上表是提示和阶段输出的索引，不替代原始日志。完整文本随仓库提交，便于老师查看分析为何改变。</w:t>
      </w:r>
    </w:p>
    <w:p>
      <w:pPr>
        <w:pStyle w:val="Heading1"/>
      </w:pPr>
      <w:r>
        <w:t>五、最终Word检查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10"/>
        <w:gridCol w:w="4621"/>
        <w:gridCol w:w="2311"/>
      </w:tblGrid>
      <w:tr>
        <w:trPr>
          <w:tblHeader w:val="true"/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检查项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通过标准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本轮状态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课程正式稿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A4不超过2页；9pt微软雅黑；首段论点加粗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2页，通过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五份MLB文档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无截断、重叠、空白页和孤立标题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2、7、3、2、3页，逐页通过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事实与边界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核心数字可回到CSV；小样本和观察性措辞准确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身份与版本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姓名、学号、截止日、仓库commit一致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通过；仓库版本9c8033d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文件完整性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文件可打开；记录页数、SHA-256和修改时间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通过；校验值见同目录清单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五份MLB文档已逐页检查，课程正式稿和完整底稿的严格仓库门禁也已通过。学校纸质表格的签名和单位盖章不属于代码校验范围，需要提交人另行办理。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底稿04　复现与交付核查说明</dc:title>
  <dc:subject/>
  <dc:creator>杨炎新</dc:creator>
  <cp:keywords/>
  <dc:description/>
  <cp:lastModifiedBy>杨炎新</cp:lastModifiedBy>
  <cp:revision>1</cp:revision>
  <dcterms:created xsi:type="dcterms:W3CDTF">2026-08-15T15:14:51Z</dcterms:created>
  <dcterms:modified xsi:type="dcterms:W3CDTF">2026-08-15T15:14:51Z</dcterms:modified>
  <cp:category/>
  <dc:identifier/>
  <dc:language>zh-CN</dc:language>
  <cp:version>1.0</cp:version>
</cp:coreProperties>
</file>