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第4周实习记录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第4周：决策交付与暑研答辩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一、把发现转成行动顺序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最后一周，我把前三周的发现改写成行动顺序。现有证据显示，今井的三振、挥空和四缝线球速没有明显下降，问题主要集中在保送、首球与进区控制，以及对左打的球种组织。因此，恢复方案分为校准、增加负荷和角色确认三个阶段，并分别写明升级与退回条件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校准期暂定3—4周，以1—2局多局牛棚为主。训练重点是四缝线进区重复性、滑球的追打区域，以及变速球与四缝线的速度差不低于约8 mph并逐步恢复到9—10 mph。变速球使用率先提高到8%—12%，优先用于左打者。健康检查是前提，出现右臂疲劳或动作异常就停止增加负荷。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过程门槛以连续至少60个打席为观察窗口：Zone%不低于46%、首球好球率不低于60%、BB%不高于10%，同时检查速度差、挥空和接触质量。通过后按45、60、75球逐级增加，每级至少两次；若BB%超过12%，或后半段执行与健康恶化，就退回上一级。这些门槛用于统一观察尺度，并非由23个牛棚打席估计出的统计最优点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二、长期角色不预先决定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最终方案没有预先写死角色。如果60—75球阶段健康且过程指标稳定，可以回到传统先发；若扩大样本后只在第三轮持续失效，可以考虑只面对一轮打线的短先发，或采用开局投手加跟随投手；若牛棚阶段控球仍无法恢复，则先检查健康、动作和握法，不能只靠增加滑球比例掩盖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数据截至8月12日，共17场比赛、1,240个带球种标签投球和288个打席；四项官方核对差值均为0。今后加入新比赛时，可以直接更新门槛判断，不必因单场ERA改写全部结论。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三、整理提交材料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完成两页决策汇总、完整分析底稿、数据来源与口径说明、迭代记录和复现说明。两页版本集中呈现结论、证据、执行门槛与限制，分母、置信区间、反例和运行方法放入底稿。图表同时呈现今井保留的三振、挥空能力和当前控球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MLB-Analytics仓库按原始数据、处理数据、研究记录、脚本、报告和质量检查分层。默认流程读取冻结快照，更新赛季时才显式刷新来源。当前完整性报告显示17项来源哈希与四项官方对账通过，文档中的关键数字均可由处理表和代码复算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四、港科大暑研：完成实验与答辩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港科项目同期完成本阶段正式实验。实验固定三组随机种子、八条policy pipeline和β=0.2的单步natural-gradient更新。每个policy在512个held-out prompts上生成6条fresh responses，合计8×3×512×6=73,728条rollout记录。三种子均值上，O-Pro和H-Pro分别取得各自信号组内最高的policy utility；O-Pro的NLL和MSE并非组内最优，但局部近似regret最低，说明偏好拟合排序与下游效用排序可能分离。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H-Pro与O-Pro的三种子平均policy utility相差约6.83×10⁻⁴，但种子间波动不小，不能据此认为二者统计等价或显著接近。实验采用冻结表示层、线性reward head、rank-4 LoRA、局部二阶近似和单步更新，因此结论限于机制验证，不能直接推广到真人偏好或所有大模型。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8月初，我完成最终汇报、答辩并提交《Prospective Reward Modeling》第一阶段报告。理论推导、实验和结果汇总均已完成；真人偏好、更大模型和多轮优化属于后续扩展。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五、四阶段回顾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四个阶段让我认识到，分析不仅要能运行，还要做到问题可检验、数字可复核、结论有边界。棒球项目训练了我在不完整公开数据下作出克制决策，港科暑研则把同一思路推进到理论和计算实验。课程数据分析项目和港科大暑研第一阶段均已完整完成；如继续研究，将另行进入真人偏好、更大模型和多轮优化阶段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  <cp:comments/>
</cp:coreProperties>
</file>