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微软雅黑" w:cs="Arial"/>
          <w:b/>
          <w:color w:val="000000"/>
          <w:sz w:val="34"/>
        </w:rPr>
        <w:t>今井达也MLB调整方案：以过程指标决定是否重返先发</w:t>
      </w:r>
    </w:p>
    <w:p>
      <w:pPr>
        <w:spacing w:after="120"/>
        <w:ind w:firstLine="0"/>
        <w:jc w:val="center"/>
      </w:pPr>
      <w:r>
        <w:rPr>
          <w:rFonts w:ascii="Arial" w:hAnsi="Arial" w:eastAsia="微软雅黑" w:cs="Arial"/>
          <w:b w:val="0"/>
          <w:color w:val="000000"/>
          <w:sz w:val="18"/>
        </w:rPr>
        <w:t>数据窗口：2026年3月29日至8月12日</w:t>
      </w:r>
    </w:p>
    <w:p>
      <w:pPr>
        <w:spacing w:after="160"/>
        <w:ind w:firstLine="0"/>
        <w:jc w:val="center"/>
      </w:pPr>
      <w:r>
        <w:rPr>
          <w:rFonts w:ascii="Arial" w:hAnsi="Arial" w:eastAsia="微软雅黑" w:cs="Arial"/>
          <w:b w:val="0"/>
          <w:color w:val="000000"/>
          <w:sz w:val="18"/>
        </w:rPr>
        <w:t>杨炎新　3230102355</w:t>
      </w:r>
    </w:p>
    <w:p>
      <w:pPr>
        <w:spacing w:line="240" w:lineRule="auto" w:after="100" w:before="60"/>
        <w:ind w:firstLine="360" w:left="180" w:right="180"/>
        <w:jc w:val="both"/>
      </w:pPr>
      <w:r>
        <w:rPr>
          <w:rFonts w:ascii="Arial" w:hAnsi="Arial" w:eastAsia="微软雅黑" w:cs="Arial"/>
          <w:b/>
          <w:color w:val="000000"/>
          <w:sz w:val="18"/>
        </w:rPr>
        <w:t>当前判断：</w:t>
      </w:r>
      <w:r>
        <w:rPr>
          <w:rFonts w:ascii="Arial" w:hAnsi="Arial" w:eastAsia="微软雅黑" w:cs="Arial"/>
          <w:b/>
          <w:color w:val="000000"/>
          <w:sz w:val="18"/>
        </w:rPr>
        <w:t xml:space="preserve"> 本窗口内，今井的三振、挥空和四缝线均速未明显下降，首要问题是保送和早期球数控制。</w:t>
      </w:r>
      <w:r>
        <w:rPr>
          <w:rFonts w:ascii="Arial" w:hAnsi="Arial" w:eastAsia="微软雅黑" w:cs="Arial"/>
          <w:b/>
          <w:color w:val="000000"/>
          <w:sz w:val="18"/>
        </w:rPr>
        <w:t>短期动作：</w:t>
      </w:r>
      <w:r>
        <w:rPr>
          <w:rFonts w:ascii="Arial" w:hAnsi="Arial" w:eastAsia="微软雅黑" w:cs="Arial"/>
          <w:b/>
          <w:color w:val="000000"/>
          <w:sz w:val="18"/>
        </w:rPr>
        <w:t xml:space="preserve"> 保留3—4周多局牛棚，修复抢好球能力并恢复对左打的变速球。</w:t>
      </w:r>
      <w:r>
        <w:rPr>
          <w:rFonts w:ascii="Arial" w:hAnsi="Arial" w:eastAsia="微软雅黑" w:cs="Arial"/>
          <w:b/>
          <w:color w:val="000000"/>
          <w:sz w:val="18"/>
        </w:rPr>
        <w:t>升级条件：</w:t>
      </w:r>
      <w:r>
        <w:rPr>
          <w:rFonts w:ascii="Arial" w:hAnsi="Arial" w:eastAsia="微软雅黑" w:cs="Arial"/>
          <w:b/>
          <w:color w:val="000000"/>
          <w:sz w:val="18"/>
        </w:rPr>
        <w:t xml:space="preserve"> 连续至少60个打席达到好球区率、首球好球率和保送率的暂定门槛后，再按45、60、75球增加负荷。</w:t>
      </w:r>
      <w:r>
        <w:rPr>
          <w:rFonts w:ascii="Arial" w:hAnsi="Arial" w:eastAsia="微软雅黑" w:cs="Arial"/>
          <w:b/>
          <w:color w:val="000000"/>
          <w:sz w:val="18"/>
        </w:rPr>
        <w:t>现有证据不支持：</w:t>
      </w:r>
      <w:r>
        <w:rPr>
          <w:rFonts w:ascii="Arial" w:hAnsi="Arial" w:eastAsia="微软雅黑" w:cs="Arial"/>
          <w:b/>
          <w:color w:val="000000"/>
          <w:sz w:val="18"/>
        </w:rPr>
        <w:t xml:space="preserve"> 立即永久转为后援，或仅凭两次牛棚登板宣布问题已经解决。</w:t>
      </w:r>
    </w:p>
    <w:p>
      <w:pPr>
        <w:pStyle w:val="Heading1"/>
      </w:pPr>
      <w:r>
        <w:t>一、三个诊断事实</w:t>
      </w:r>
    </w:p>
    <w:p>
      <w:pPr>
        <w:pStyle w:val="ListNumber"/>
        <w:spacing w:before="0" w:after="30" w:line="276" w:lineRule="auto"/>
        <w:ind w:left="425" w:hanging="198"/>
      </w:pPr>
      <w:r>
        <w:rPr>
          <w:rFonts w:ascii="Arial" w:hAnsi="Arial" w:eastAsia="微软雅黑" w:cs="Arial"/>
          <w:b/>
          <w:color w:val="000000"/>
          <w:sz w:val="18"/>
        </w:rPr>
        <w:t>球威没有整体消失。</w:t>
      </w:r>
      <w:r>
        <w:rPr>
          <w:rFonts w:ascii="Arial" w:hAnsi="Arial" w:eastAsia="微软雅黑" w:cs="Arial"/>
          <w:b w:val="0"/>
          <w:color w:val="000000"/>
          <w:sz w:val="18"/>
        </w:rPr>
        <w:t xml:space="preserve"> MLB的K%为27.8%，与NPB 2025相同；逐球Whiff%为32.3%，四缝线均速94.9 mph。控球变化更大：BB%由7.0%升至14.6%，Zone%为43.6%，首球好球率为51.7%。</w:t>
      </w:r>
    </w:p>
    <w:p>
      <w:pPr>
        <w:pStyle w:val="ListNumber"/>
        <w:spacing w:before="0" w:after="30" w:line="276" w:lineRule="auto"/>
        <w:ind w:left="425" w:hanging="198"/>
      </w:pPr>
      <w:r>
        <w:rPr>
          <w:rFonts w:ascii="Arial" w:hAnsi="Arial" w:eastAsia="微软雅黑" w:cs="Arial"/>
          <w:b/>
          <w:color w:val="000000"/>
          <w:sz w:val="18"/>
        </w:rPr>
        <w:t>球种调整要先解决左打。</w:t>
      </w:r>
      <w:r>
        <w:rPr>
          <w:rFonts w:ascii="Arial" w:hAnsi="Arial" w:eastAsia="微软雅黑" w:cs="Arial"/>
          <w:b w:val="0"/>
          <w:color w:val="000000"/>
          <w:sz w:val="18"/>
        </w:rPr>
        <w:t xml:space="preserve"> 滑球使用45.3%、Whiff 40.6%、官方Run Value +4，仍可作为终结球。四缝线对右打RV/100为+1.47，对左打为-1.27，左打Whiff只有15.4%。调整重点应放在对左打的四缝线位置与速度层，而非全面削减直球。</w:t>
      </w:r>
    </w:p>
    <w:p>
      <w:pPr>
        <w:pStyle w:val="ListNumber"/>
        <w:spacing w:before="0" w:after="30" w:line="276" w:lineRule="auto"/>
        <w:ind w:left="425" w:hanging="198"/>
      </w:pPr>
      <w:r>
        <w:rPr>
          <w:rFonts w:ascii="Arial" w:hAnsi="Arial" w:eastAsia="微软雅黑" w:cs="Arial"/>
          <w:b/>
          <w:color w:val="000000"/>
          <w:sz w:val="18"/>
        </w:rPr>
        <w:t>变速球有历史基础，但MLB样本很小。</w:t>
      </w:r>
      <w:r>
        <w:rPr>
          <w:rFonts w:ascii="Arial" w:hAnsi="Arial" w:eastAsia="微软雅黑" w:cs="Arial"/>
          <w:b w:val="0"/>
          <w:color w:val="000000"/>
          <w:sz w:val="18"/>
        </w:rPr>
        <w:t xml:space="preserve"> 该球在NPB 2025使用12.7%、均速84.7 mph、Whiff 41.6%；到MLB后仅29球、使用2.3%、均速86.8 mph，与四缝线速度差由约10.1缩至8.0 mph。MLB的62.5% Whiff来自8次挥棒中的5次，不能据此判断该球已经有效。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2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core_diagno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ind w:firstLine="0"/>
        <w:jc w:val="center"/>
      </w:pPr>
      <w:r>
        <w:rPr>
          <w:rFonts w:ascii="Arial" w:hAnsi="Arial" w:eastAsia="微软雅黑" w:cs="Arial"/>
          <w:b w:val="0"/>
          <w:color w:val="000000"/>
          <w:sz w:val="18"/>
        </w:rPr>
        <w:t>图1  核心诊断指标；跨联盟价值指标不作同尺度比较</w:t>
      </w:r>
    </w:p>
    <w:p>
      <w:r>
        <w:br w:type="page"/>
      </w:r>
    </w:p>
    <w:p>
      <w:pPr>
        <w:spacing w:line="240" w:lineRule="auto" w:after="0"/>
        <w:ind w:firstLine="360"/>
        <w:jc w:val="both"/>
      </w:pPr>
      <w:r>
        <w:rPr>
          <w:rFonts w:ascii="Arial" w:hAnsi="Arial" w:eastAsia="微软雅黑" w:cs="Arial"/>
          <w:b w:val="0"/>
          <w:color w:val="000000"/>
          <w:sz w:val="18"/>
        </w:rPr>
        <w:t>两次牛棚登板共89球、23个打席，Zone%、首球好球率和Whiff%分别为46.1%、73.9%和40.0%。方向积极，但样本小，且角色、日期、健康恢复和对手同时变化，只能把牛棚视为校准环境。</w:t>
      </w:r>
    </w:p>
    <w:p>
      <w:pPr>
        <w:pStyle w:val="Heading1"/>
      </w:pPr>
      <w:r>
        <w:t>二、执行安排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081"/>
        <w:gridCol w:w="1486"/>
        <w:gridCol w:w="1621"/>
        <w:gridCol w:w="3378"/>
        <w:gridCol w:w="2300"/>
      </w:tblGrid>
      <w:tr>
        <w:trPr>
          <w:tblHeader w:val="true"/>
          <w:cantSplit/>
        </w:trPr>
        <w:tc>
          <w:tcPr>
            <w:tcW w:type="dxa" w:w="1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8"/>
              </w:rPr>
              <w:t>负责人</w:t>
            </w:r>
          </w:p>
        </w:tc>
        <w:tc>
          <w:tcPr>
            <w:tcW w:type="dxa" w:w="1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8"/>
              </w:rPr>
              <w:t>窗口</w:t>
            </w:r>
          </w:p>
        </w:tc>
        <w:tc>
          <w:tcPr>
            <w:tcW w:type="dxa" w:w="33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8"/>
              </w:rPr>
              <w:t>观察与动作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8"/>
              </w:rPr>
              <w:t>未达标处理</w:t>
            </w:r>
          </w:p>
        </w:tc>
      </w:tr>
      <w:tr>
        <w:trPr>
          <w:cantSplit/>
        </w:trPr>
        <w:tc>
          <w:tcPr>
            <w:tcW w:type="dxa" w:w="1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A 校准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投手教练、医疗组</w:t>
            </w:r>
          </w:p>
        </w:tc>
        <w:tc>
          <w:tcPr>
            <w:tcW w:type="dxa" w:w="1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3—4周；每次1—2局</w:t>
            </w:r>
          </w:p>
        </w:tc>
        <w:tc>
          <w:tcPr>
            <w:tcW w:type="dxa" w:w="33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医疗检查先行；固定热身与节奏；变速球速度差不再低于约8 mph，并尝试向9—10 mph恢复；使用率逐步到8%—12%，优先面对左打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有疼痛、疲劳或动作异常即停止加量；复查握法、释放与健康</w:t>
            </w:r>
          </w:p>
        </w:tc>
      </w:tr>
      <w:tr>
        <w:trPr>
          <w:cantSplit/>
        </w:trPr>
        <w:tc>
          <w:tcPr>
            <w:tcW w:type="dxa" w:w="1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B 过程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投手教练、分析组</w:t>
            </w:r>
          </w:p>
        </w:tc>
        <w:tc>
          <w:tcPr>
            <w:tcW w:type="dxa" w:w="1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连续至少60打席；每次登板后复盘</w:t>
            </w:r>
          </w:p>
        </w:tc>
        <w:tc>
          <w:tcPr>
            <w:tcW w:type="dxa" w:w="33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Zone≥46%；首球好球≥60%；BB≤10%；同时检查变速球位置、移动和接触质量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核心指标持续未达，保持低负荷并回到A阶段</w:t>
            </w:r>
          </w:p>
        </w:tc>
      </w:tr>
      <w:tr>
        <w:trPr>
          <w:cantSplit/>
        </w:trPr>
        <w:tc>
          <w:tcPr>
            <w:tcW w:type="dxa" w:w="1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C 负荷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教练组</w:t>
            </w:r>
          </w:p>
        </w:tc>
        <w:tc>
          <w:tcPr>
            <w:tcW w:type="dxa" w:w="1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45→60→75球；每阶至少两次</w:t>
            </w:r>
          </w:p>
        </w:tc>
        <w:tc>
          <w:tcPr>
            <w:tcW w:type="dxa" w:w="33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对比前后半段进区、球速与球种执行；过程门槛继续成立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BB&gt;12%、疲劳或动作退化时退一阶</w:t>
            </w:r>
          </w:p>
        </w:tc>
      </w:tr>
      <w:tr>
        <w:trPr>
          <w:cantSplit/>
        </w:trPr>
        <w:tc>
          <w:tcPr>
            <w:tcW w:type="dxa" w:w="1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D 角色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教练组、管理层</w:t>
            </w:r>
          </w:p>
        </w:tc>
        <w:tc>
          <w:tcPr>
            <w:tcW w:type="dxa" w:w="1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完成60—75球阶段后评估</w:t>
            </w:r>
          </w:p>
        </w:tc>
        <w:tc>
          <w:tcPr>
            <w:tcW w:type="dxa" w:w="33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健康且过程稳定则回传统先发；若仅第三轮反复失效，评估短先发或一次打线加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不以单场ERA或一次高光改变长期角色</w:t>
            </w:r>
          </w:p>
        </w:tc>
      </w:tr>
    </w:tbl>
    <w:p>
      <w:pPr>
        <w:spacing w:after="0" w:line="72" w:lineRule="auto"/>
        <w:ind w:firstLine="0"/>
      </w:pPr>
    </w:p>
    <w:p>
      <w:pPr>
        <w:spacing w:line="240" w:lineRule="auto" w:after="0"/>
        <w:ind w:firstLine="360"/>
        <w:jc w:val="both"/>
      </w:pPr>
      <w:r>
        <w:rPr>
          <w:rFonts w:ascii="Arial" w:hAnsi="Arial" w:eastAsia="微软雅黑" w:cs="Arial"/>
          <w:b w:val="0"/>
          <w:color w:val="000000"/>
          <w:sz w:val="18"/>
        </w:rPr>
        <w:t>以上阈值是便于执行和复盘的暂定管理规则，并非从23个牛棚打席估出的能力真值。医疗判断始终先于统计阈值。</w:t>
      </w:r>
    </w:p>
    <w:p>
      <w:pPr>
        <w:pStyle w:val="Heading1"/>
      </w:pPr>
      <w:r>
        <w:t>三、每次复盘只看四组问题</w:t>
      </w:r>
    </w:p>
    <w:p>
      <w:pPr>
        <w:pStyle w:val="ListBullet"/>
        <w:spacing w:before="0" w:after="30" w:line="276" w:lineRule="auto"/>
        <w:ind w:left="425" w:hanging="198"/>
      </w:pPr>
      <w:r>
        <w:rPr>
          <w:rFonts w:ascii="Arial" w:hAnsi="Arial" w:eastAsia="微软雅黑" w:cs="Arial"/>
          <w:b w:val="0"/>
          <w:color w:val="000000"/>
          <w:sz w:val="18"/>
        </w:rPr>
        <w:t>抢好球：Zone%、首球好球率和BB%是否同步改善。</w:t>
      </w:r>
    </w:p>
    <w:p>
      <w:pPr>
        <w:pStyle w:val="ListBullet"/>
        <w:spacing w:before="0" w:after="30" w:line="276" w:lineRule="auto"/>
        <w:ind w:left="425" w:hanging="198"/>
      </w:pPr>
      <w:r>
        <w:rPr>
          <w:rFonts w:ascii="Arial" w:hAnsi="Arial" w:eastAsia="微软雅黑" w:cs="Arial"/>
          <w:b w:val="0"/>
          <w:color w:val="000000"/>
          <w:sz w:val="18"/>
        </w:rPr>
        <w:t>变速球：速度差、落点、移动和接触质量是否在增加使用率时保持稳定。</w:t>
      </w:r>
    </w:p>
    <w:p>
      <w:pPr>
        <w:pStyle w:val="ListBullet"/>
        <w:spacing w:before="0" w:after="30" w:line="276" w:lineRule="auto"/>
        <w:ind w:left="425" w:hanging="198"/>
      </w:pPr>
      <w:r>
        <w:rPr>
          <w:rFonts w:ascii="Arial" w:hAnsi="Arial" w:eastAsia="微软雅黑" w:cs="Arial"/>
          <w:b w:val="0"/>
          <w:color w:val="000000"/>
          <w:sz w:val="18"/>
        </w:rPr>
        <w:t>负荷：球数增加后，四缝线球速与进区率是否在后半段下降。</w:t>
      </w:r>
    </w:p>
    <w:p>
      <w:pPr>
        <w:pStyle w:val="ListBullet"/>
        <w:spacing w:before="0" w:after="30" w:line="276" w:lineRule="auto"/>
        <w:ind w:left="425" w:hanging="198"/>
      </w:pPr>
      <w:r>
        <w:rPr>
          <w:rFonts w:ascii="Arial" w:hAnsi="Arial" w:eastAsia="微软雅黑" w:cs="Arial"/>
          <w:b w:val="0"/>
          <w:color w:val="000000"/>
          <w:sz w:val="18"/>
        </w:rPr>
        <w:t>样本：牛棚、变速球和第三轮样本是否已经足以改变当前判断。</w:t>
      </w:r>
    </w:p>
    <w:p>
      <w:pPr>
        <w:pStyle w:val="Heading1"/>
      </w:pPr>
      <w:r>
        <w:t>四、结论</w:t>
      </w:r>
    </w:p>
    <w:p>
      <w:pPr>
        <w:spacing w:line="240" w:lineRule="auto" w:after="0"/>
        <w:ind w:firstLine="360"/>
        <w:jc w:val="both"/>
      </w:pPr>
      <w:r>
        <w:rPr>
          <w:rFonts w:ascii="Arial" w:hAnsi="Arial" w:eastAsia="微软雅黑" w:cs="Arial"/>
          <w:b w:val="0"/>
          <w:color w:val="000000"/>
          <w:sz w:val="18"/>
        </w:rPr>
        <w:t>现有数据支持“短期校准、达标后逐级回归”。若过程指标未改善，继续先发会增加球数和保送问题在长局数中再次暴露的风险；若指标在扩大样本后保持稳定，则没有必要因为两次牛棚表现就永久改变角色。</w:t>
      </w:r>
    </w:p>
    <w:p>
      <w:pPr>
        <w:spacing w:line="240" w:lineRule="auto" w:after="0"/>
        <w:ind w:firstLine="360"/>
        <w:jc w:val="both"/>
      </w:pPr>
      <w:r>
        <w:rPr>
          <w:rFonts w:ascii="Arial" w:hAnsi="Arial" w:eastAsia="微软雅黑" w:cs="Arial"/>
          <w:b/>
          <w:color w:val="000000"/>
          <w:sz w:val="18"/>
        </w:rPr>
        <w:t>来源与版本：</w:t>
      </w:r>
      <w:r>
        <w:rPr>
          <w:rFonts w:ascii="Arial" w:hAnsi="Arial" w:eastAsia="微软雅黑" w:cs="Arial"/>
          <w:b w:val="0"/>
          <w:color w:val="000000"/>
          <w:sz w:val="18"/>
        </w:rPr>
        <w:t xml:space="preserve"> MLB StatsAPI、Baseball Savant、NPB官方、NPB Basement及MLB.com背景报道；完整URL、快照、分母和代码见配套底稿及https://github.com/youth-flow/MLB-Analytics 。正式提交版本见配套《底稿04　MLB复现与交付核查说明》。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微软雅黑" w:cs="Arial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before="0" w:after="0"/>
      <w:ind w:firstLine="360"/>
      <w:jc w:val="both"/>
    </w:pPr>
    <w:rPr>
      <w:rFonts w:ascii="Arial" w:hAnsi="Arial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今井达也MLB调整方案：以过程指标决定是否重返先发</dc:title>
  <dc:subject/>
  <dc:creator>杨炎新</dc:creator>
  <cp:keywords/>
  <dc:description/>
  <cp:lastModifiedBy>杨炎新</cp:lastModifiedBy>
  <cp:revision>1</cp:revision>
  <dcterms:created xsi:type="dcterms:W3CDTF">2026-08-15T15:07:58Z</dcterms:created>
  <dcterms:modified xsi:type="dcterms:W3CDTF">2026-08-15T15:07:58Z</dcterms:modified>
  <cp:category/>
  <dc:identifier/>
  <dc:language>zh-CN</dc:language>
  <cp:version>1.0</cp:version>
</cp:coreProperties>
</file>