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Arial" w:hAnsi="Arial" w:eastAsia="黑体" w:cs="Arial"/>
          <w:b/>
          <w:color w:val="000000"/>
          <w:sz w:val="36"/>
        </w:rPr>
        <w:t>第2周实习记录（阶段回顾）</w:t>
      </w:r>
    </w:p>
    <w:p>
      <w:pPr>
        <w:spacing w:after="120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把“找到数据”推进到“数字能够复核”</w:t>
      </w:r>
    </w:p>
    <w:tbl>
      <w:tblPr>
        <w:tblW w:type="dxa" w:w="9014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66666"/>
          <w:left w:val="single" w:sz="4" w:space="0" w:color="666666"/>
          <w:bottom w:val="single" w:sz="4" w:space="0" w:color="666666"/>
          <w:right w:val="single" w:sz="4" w:space="0" w:color="666666"/>
          <w:insideH w:val="single" w:sz="4" w:space="0" w:color="666666"/>
          <w:insideV w:val="single" w:sz="4" w:space="0" w:color="666666"/>
        </w:tblBorders>
      </w:tblPr>
      <w:tblGrid>
        <w:gridCol w:w="1669"/>
        <w:gridCol w:w="2670"/>
        <w:gridCol w:w="1669"/>
        <w:gridCol w:w="3006"/>
      </w:tblGrid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学生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杨炎新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学号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3230102355</w:t>
            </w:r>
          </w:p>
        </w:tc>
      </w:tr>
      <w:tr>
        <w:trPr>
          <w:cantSplit/>
        </w:trPr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实习单位</w:t>
            </w:r>
          </w:p>
        </w:tc>
        <w:tc>
          <w:tcPr>
            <w:tcW w:type="dxa" w:w="2670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上海思搏动态智能科技有限公司</w:t>
            </w:r>
          </w:p>
        </w:tc>
        <w:tc>
          <w:tcPr>
            <w:tcW w:type="dxa" w:w="1669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center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记录主题</w:t>
            </w:r>
          </w:p>
        </w:tc>
        <w:tc>
          <w:tcPr>
            <w:tcW w:type="dxa" w:w="3006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0"/>
              </w:rPr>
              <w:t>阶段二：数据治理与理论推导</w:t>
            </w:r>
          </w:p>
        </w:tc>
      </w:tr>
    </w:tbl>
    <w:p>
      <w:pPr>
        <w:spacing w:after="0" w:line="72" w:lineRule="auto"/>
        <w:ind w:firstLine="0"/>
      </w:pPr>
    </w:p>
    <w:p>
      <w:pPr>
        <w:pStyle w:val="Heading1"/>
      </w:pPr>
      <w:r>
        <w:t>一、阶段主要任务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第二阶段的重点是数据治理。上一阶段已经知道需要哪些数据，但网页上的数字能否稳定复算仍然未知。我把所有原始网页、JSON和CSV保存为只读快照，并记录URL、下载时间、文件大小和SHA-256。处理后的表另存到data/processed，分析脚本不覆盖原始文件。这样，即使动态网页在赛季中更新，也能说明某个结论对应的是哪一批数据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数据分为比赛、打席和逐球三层。StatsAPI负责比赛场次、先发或牛棚、局数、三振和保送；Statcast负责球种、位置、球数、挥棒和结果；Savant赛季表用于核对xERA与官方球种价值。不同来源之间有重复字段，我没有简单选一个版本，而是把能够闭合的项目列为校验项，后续由脚本自动比较。</w:t>
      </w:r>
    </w:p>
    <w:p>
      <w:pPr>
        <w:pStyle w:val="Heading1"/>
      </w:pPr>
      <w:r>
        <w:t>二、一次具体的数据清洗问题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逐球文件中有一条自动坏球事件没有球种标签。最初汇总时，我发现逐球总数和球种总数相差一行。如果直接删除而不记录，报告中的总投球数会在不同表之间变化；如果强行补一个球种，又没有证据。最后的处理是保留原始1,241行，在球种分析中明确使用1,240个带标签投球，同时让三振、保送和比赛数继续以官方日志为准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个小问题让我认识到，数据清洗不是把异常“处理掉”，而是说明它影响了什么、没有影响什么。最终冻结版本中，1,240个带标签投球、80次三振、42次保送和17场比赛均能与官方参考闭合，四项差值为0。各类百分比也固定分母：K%和BB%使用打席，Whiff%使用挥棒，Chase%使用好球区外投球，首球好球率以每个打席的第一球为单位。</w:t>
      </w:r>
    </w:p>
    <w:p>
      <w:pPr>
        <w:pStyle w:val="Heading1"/>
      </w:pPr>
      <w:r>
        <w:t>三、初步计算与疑问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清洗后的第一批结果并没有立即给出完整答案，却暴露了值得追查的矛盾。今井的K%仍然很高，Whiff%也不差，但BB%明显上升；四缝线平均球速接近NPB时期，ERA却大幅恶化。这说明“球威下降”可能不是主因，控球和球种组织更值得优先检查。我暂时没有把这一点写成结论，而是把它放入下一周的分层分析计划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跨联盟比较也需要克制。NPB和MLB的比赛用球、打者、球场与价值模型不同，因此我只比较结构和方向，例如某个球种在原联盟是否持续使用、是否长期产生正向结果，而不把两个联盟的价值数字当成同一把尺子。</w:t>
      </w:r>
    </w:p>
    <w:p>
      <w:pPr>
        <w:pStyle w:val="Heading1"/>
      </w:pPr>
      <w:r>
        <w:t>四、港科大暑研：从直觉到数学对象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暑研的理论阶段主要在纸上推导Prospective Reward Modeling。我从KL正则化策略目标出发，把奖励模型的价值定义为它诱导出的策略在目标奖励下取得的效用，并将reward regret写成与最优可达策略之间的差。继续在参考策略附近做局部展开后，regret可以解释为奖励误差在policy-visible方向上的二次距离。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这一步最难的地方不是公式本身，而是区分“奖励函数不同”和“对策略更新真正有影响的方向不同”。两个reward可能在数值上相差很大，却诱导近似相同的局部策略；反过来，一个NLL很小的reward也可能在关键方向上产生错误更新。我在三页手写推导中保留了reward equivalence class、Fisher几何和局部regret的关系，并与老师讨论了G-SRM、L-SRM等早期表述。</w:t>
      </w:r>
    </w:p>
    <w:p>
      <w:pPr>
        <w:pStyle w:val="Heading1"/>
      </w:pPr>
      <w:r>
        <w:t>五、阶段反思与下一步</w:t>
      </w:r>
    </w:p>
    <w:p>
      <w:pPr>
        <w:spacing w:line="331" w:lineRule="auto" w:after="0"/>
        <w:ind w:firstLine="46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棒球数据清洗和奖励模型推导看似相距很远，这一阶段却出现了相同的问题：如果分母、方向和评价对象没有先固定，再多数字也可能相互矛盾。之后我会减少“先跑起来再解释”的习惯，在每次分析或实验前先写清输入、输出和核对标准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MLB项目：完成来源冻结、异常记录、指标口径和官方对账框架。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港科项目：完成reward utility、policy regret、奖励等价类与局部Fisher几何的主体推导。</w:t>
      </w:r>
    </w:p>
    <w:p>
      <w:pPr>
        <w:pStyle w:val="ListBullet"/>
        <w:spacing w:before="0" w:after="30" w:line="307" w:lineRule="auto"/>
        <w:ind w:left="425" w:hanging="198"/>
      </w:pPr>
      <w:r>
        <w:rPr>
          <w:rFonts w:ascii="Times New Roman" w:hAnsi="Times New Roman" w:eastAsia="宋体" w:cs="Times New Roman"/>
          <w:b w:val="0"/>
          <w:color w:val="000000"/>
          <w:sz w:val="23"/>
        </w:rPr>
        <w:t>下一阶段：按控球、球种、侧别和角色分层分析；在HPC4上搭建数据物化、奖励训练与策略评价管线。</w:t>
      </w:r>
    </w:p>
    <w:sectPr w:rsidR="00FC693F" w:rsidRPr="0006063C" w:rsidSect="00034616">
      <w:footerReference w:type="default" r:id="rId9"/>
      <w:pgSz w:w="11906" w:h="16838"/>
      <w:pgMar w:top="1332" w:right="1446" w:bottom="1276" w:left="1446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 w:eastAsia="宋体" w:cs="Times New Roman"/>
        <w:b w:val="0"/>
        <w:color w:val="000000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31" w:lineRule="auto" w:before="0" w:after="0"/>
      <w:ind w:firstLine="460"/>
      <w:jc w:val="both"/>
    </w:pPr>
    <w:rPr>
      <w:rFonts w:ascii="Times New Roman" w:hAnsi="Times New Roman" w:eastAsia="宋体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64" w:lineRule="auto"/>
      <w:ind w:firstLine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264" w:lineRule="auto"/>
      <w:ind w:firstLine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64" w:lineRule="auto"/>
      <w:ind w:firstLine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ns0:Properties xmlns:ns0="http://schemas.openxmlformats.org/officeDocument/2006/extended-properties" xmlns:ns1="http://schemas.openxmlformats.org/officeDocument/2006/docPropsVTypes">
  <ns0:Template>Normal.dotm</ns0:Template>
  <ns0:TotalTime>0</ns0:TotalTime>
  <ns0:Application>Office Open XML</ns0:Application>
  <ns0:DocSecurity>0</ns0:DocSecurity>
  <ns0:ScaleCrop>false</ns0:ScaleCrop>
  <ns0:HeadingPairs>
    <ns1:vector size="2" baseType="variant">
      <ns1:variant>
        <ns1:lpstr>Title</ns1:lpstr>
      </ns1:variant>
      <ns1:variant>
        <ns1:i4>1</ns1:i4>
      </ns1:variant>
    </ns1:vector>
  </ns0:HeadingPairs>
  <ns0:TitlesOfParts>
    <ns1:vector size="1" baseType="lpstr">
      <ns1:lpstr/>
    </ns1:vector>
  </ns0:TitlesOfParts>
  <ns0:Manager/>
  <ns0:Company/>
  <ns0:LinksUpToDate>false</ns0:LinksUpToDate>
  <ns0:SharedDoc>false</ns0:SharedDoc>
  <ns0:HyperlinkBase/>
  <ns0:HyperlinksChanged>false</ns0:HyperlinksChanged>
</ns0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第2周实习记录（阶段回顾）</dc:title>
  <dc:subject/>
  <dc:creator>杨炎新</dc:creator>
  <cp:keywords/>
  <dc:description/>
  <cp:lastModifiedBy>杨炎新</cp:lastModifiedBy>
  <cp:revision>1</cp:revision>
  <dcterms:created xsi:type="dcterms:W3CDTF">2026-08-15T15:07:57Z</dcterms:created>
  <dcterms:modified xsi:type="dcterms:W3CDTF">2026-08-15T15:07:57Z</dcterms:modified>
  <cp:category/>
  <dc:identifier/>
  <dc:language>zh-CN</dc:language>
  <cp:version>1.0</cp:version>
</cp:coreProperties>
</file>