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底稿03　分析迭代与反证记录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今井达也MLB调整决策｜按证据与Git提交顺序整理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项目日期：2026年8月14日　｜　数据截止：2026年8月12日</w:t>
      </w:r>
    </w:p>
    <w:p>
      <w:pPr>
        <w:pStyle w:val="Heading1"/>
      </w:pPr>
      <w:r>
        <w:t>一、记录方式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本表按实际项目提交顺序记录问题如何变化。每一项都列出新证据、改变的判断、保留的判断和可能推翻当前结论的结果。完整数字在docs/research/analysis_cycle_results.md，代码和文件变化可由commit复核。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82"/>
        <w:gridCol w:w="1504"/>
        <w:gridCol w:w="2364"/>
        <w:gridCol w:w="2256"/>
        <w:gridCol w:w="1936"/>
      </w:tblGrid>
      <w:tr>
        <w:trPr>
          <w:tblHeader w:val="true"/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时间/版本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当时的问题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新证据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判断变化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仍待验证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10:59；67095f9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高ERA是否足以说明球威下降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建立来源登记、分析前假设与原始数据目录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先固定球威、控球、球种、侧别和角色五条检查线，不以ERA单项定性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数据能否和官方场次、K、BB闭合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11:13；e2dcd1c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球威与控球谁更优先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 27.8%、Whiff 32.3%、四缝线94.9 mph；BB% 14.6%、Zone 43.6%、首球51.7%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“整体球威下降”缺少支持；优先级转到免费上垒与早期球数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若后续K、Whiff和球速共同下降，需重评球威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同一分析提交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二球种集中是否等于滑球过多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滑球45.3%、Whiff 40.6%、官方RV +4；NPB变速球12.7%，MLB仅2.3%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保留滑球；第三球种问题改为恢复已有变速球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MLB变速球仅29球，效果不能外推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同一分析提交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四缝线是否全面失效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对左打311球、Whiff 15.4%、RV/100 −1.27；对右打RV/100 +1.47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调整对象缩小到左打情境，不全面削减四缝线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需要球队内部位置、移动和配球意图数据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同一分析提交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两次牛棚能否决定长期角色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牛棚89球、23打席；过程指标方向积极，但四缝线均速未上升；第三轮161球未显示简单崩盘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牛棚只作为短期校准环境；角色在扩大样本和增加负荷后再定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角色、日期、健康和对手混杂仍无法分离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11:22；0ae1bf6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如何把分析写成可执行方案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两页稿、完整底稿、图表与阈值表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加入3—4周校准、≥60打席观察和45→60→75球阶梯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阈值是管理规则，需要前瞻检验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8月14日 14:54—15:20；60d0e7c至f05a183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他人能否在干净环境复算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离线流水线、确定性报告、CI、10项测试和Windows兼容修复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复现从联网抓取改为默认读取冻结快照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视觉核查需在最终Word生成后另做</w:t>
            </w:r>
          </w:p>
        </w:tc>
      </w:tr>
      <w:tr>
        <w:trPr>
          <w:cantSplit/>
        </w:trPr>
        <w:tc>
          <w:tcPr>
            <w:tcW w:type="dxa" w:w="1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8月15日；9c8033d</w:t>
            </w:r>
          </w:p>
        </w:tc>
        <w:tc>
          <w:tcPr>
            <w:tcW w:type="dxa" w:w="1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最终交付是否合格</w:t>
            </w:r>
          </w:p>
        </w:tc>
        <w:tc>
          <w:tcPr>
            <w:tcW w:type="dxa" w:w="23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12项测试、隐私扫描；仓库公开Word的2页决策稿与10页完整分析稿逐页检查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修正来源孤页；严格门禁通过</w:t>
            </w:r>
          </w:p>
        </w:tc>
        <w:tc>
          <w:tcPr>
            <w:tcW w:type="dxa" w:w="1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新数据窗口须重跑全部门禁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二、四次主要判断变化</w:t>
      </w:r>
    </w:p>
    <w:p>
      <w:pPr>
        <w:pStyle w:val="Heading2"/>
      </w:pPr>
      <w:r>
        <w:t>2.1 高ERA没有直接转写成“球威下降”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K%、Whiff%和四缝线均速未明显下降，保送与抢好球指标的变化更大，因此先处理球数控制。若三振、挥空和球速同时下行，或出现明确健康证据，再把球威因素放回首位。</w:t>
      </w:r>
    </w:p>
    <w:p>
      <w:pPr>
        <w:pStyle w:val="Heading2"/>
      </w:pPr>
      <w:r>
        <w:t>2.2 变速球建议来自历史使用，不来自29球结果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MLB变速球的62.5% Whiff仅来自5/8次挥棒。恢复依据是NPB 2025的12.7%稳定使用和正向xPV，以及MLB使用率降至2.3%、速度差由约10.1缩至8.0 mph。下一步以约8 mph为下限，尝试向9—10 mph恢复，同时检查落点、移动和接触质量。</w:t>
      </w:r>
    </w:p>
    <w:p>
      <w:pPr>
        <w:pStyle w:val="Heading2"/>
      </w:pPr>
      <w:r>
        <w:t>2.3 侧别拆分改变了四缝线结论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四缝线总值接近中性，拆分后对左、右打方向相反。因此不全面降低直球，只把对左打的位置与球种衔接列为待验证问题；若新样本差异缩小，或内部数据指向执行问题，再调整方案。</w:t>
      </w:r>
    </w:p>
    <w:p>
      <w:pPr>
        <w:pStyle w:val="Heading2"/>
      </w:pPr>
      <w:r>
        <w:t>2.4 牛棚数据只改变短期安排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牛棚过程指标上升，但只有23个打席，且角色与恢复时间重叠。它支持用多局牛棚降低任务复杂度，不证明后援身份造成改善；长期角色留到60—75球负荷阶段再评估。</w:t>
      </w:r>
    </w:p>
    <w:p>
      <w:pPr>
        <w:pStyle w:val="Heading1"/>
      </w:pPr>
      <w:r>
        <w:t>三、行动规则的验证与推翻条件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66"/>
        <w:gridCol w:w="2152"/>
        <w:gridCol w:w="3038"/>
        <w:gridCol w:w="2786"/>
      </w:tblGrid>
      <w:tr>
        <w:trPr>
          <w:tblHeader w:val="true"/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观察窗口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暂定升级条件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推翻或退回条件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校准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3—4周多局牛棚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健康稳定；变速球可执行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疼痛、疲劳、动作异常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过程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先积累≥60打席；此后滚动最近60打席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Zone≥46%、首球≥60%、BB≤10%；变速球质量不降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10%&lt;BB≤12%时维持；BB&gt;12%或Zone、首球持续未达时回到校准阶段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负荷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45、60、75球；每阶至少两次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后半段进区、球速与健康稳定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任一门槛未达则暂停；BB&gt;12%或控球持续未达回校准；仅当前负荷下执行、球速或健康恶化时退一阶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角色</w:t>
            </w:r>
          </w:p>
        </w:tc>
        <w:tc>
          <w:tcPr>
            <w:tcW w:type="dxa" w:w="2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通过负荷阶段后继续观察</w:t>
            </w:r>
          </w:p>
        </w:tc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60—75球保持健康和过程稳定</w:t>
            </w:r>
          </w:p>
        </w:tc>
        <w:tc>
          <w:tcPr>
            <w:tcW w:type="dxa" w:w="2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第三轮持续失效时改为一轮打线左右或四至五局短先发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门槛来自MLB平均、今井NPB历史和当前牛棚信号，是便于教练组复盘的暂定规则。后续数据若不支持，就按上表退回或修改，不把一次ERA变化当成单独决定。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底稿03　分析迭代与反证记录</dc:title>
  <dc:subject/>
  <dc:creator>杨炎新</dc:creator>
  <cp:keywords/>
  <dc:description>generated by python-docx</dc:description>
  <cp:lastModifiedBy>杨炎新</cp:lastModifiedBy>
  <cp:revision>1</cp:revision>
  <dcterms:created xsi:type="dcterms:W3CDTF">2026-08-21T18:11:52Z</dcterms:created>
  <dcterms:modified xsi:type="dcterms:W3CDTF">2026-08-21T18:11:52Z</dcterms:modified>
  <cp:category/>
  <dc:identifier/>
  <dc:language>zh-CN</dc:language>
  <cp:version>1.0</cp:version>
</cp:coreProperties>
</file>