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底稿04　复现与交付核查说明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冻结数据、自动校验、逐页检查与过程记录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项目：MLB-Analytics　｜　数据截止：2026年8月12日　｜　最终版本：9c8033d</w:t>
      </w:r>
    </w:p>
    <w:p>
      <w:pPr>
        <w:pStyle w:val="Heading1"/>
      </w:pPr>
      <w:r>
        <w:t>一、离线复现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项目默认读取data/raw中的17份冻结快照，不主动访问网络。环境为Python 3.12；主要依赖固定在requirements.txt，包括numpy 2.3.5、pandas 3.0.1、python-docx 1.2.0、lxml 6.1.1和pypdf 6.10.0。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进入MLB-Analytics目录后运行：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python scripts/run_pipeline.py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该命令依次完成分析、报告生成和自动校验。单元测试另行运行：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2"/>
        </w:rPr>
        <w:t>python -m unittest discover -s tests -v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只有需要建立新的赛季窗口时才运行python scripts/run_pipeline.py --refresh-data。联网刷新会改变下载时间和网页内容，因此必须同时更新截止日、来源清单、处理表和报告，不能继续引用旧窗口。</w:t>
      </w:r>
    </w:p>
    <w:p>
      <w:pPr>
        <w:pStyle w:val="Heading1"/>
      </w:pPr>
      <w:r>
        <w:t>二、自动校验状态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截至最终commit 9c8033d，本地main与origin/main一致；GitHub Actions run 31870800186成功。qa/integrity_report.json记录默认离线自动结果，严格视觉结果写入qa/local_visual_report.json；两类结果的职责分开。核查摘要如下：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10"/>
        <w:gridCol w:w="4621"/>
        <w:gridCol w:w="2311"/>
      </w:tblGrid>
      <w:tr>
        <w:trPr>
          <w:tblHeader w:val="true"/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检查项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来源哈希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17份原始快照与manifest逐字节比较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数据对账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1,240球、80K、42BB、17场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四项差值0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核心结果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冻结数字断言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公开Word结构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A4、标题、字体、朴素样式和嵌图；正式稿首段加粗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公开文件隐私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24份文件扫描姓名、学号等信息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未发现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产物清单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45项、顺序确定、无缓存路径泄漏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单元测试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离线流程、完整性和报告结构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12项通过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远程CI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Windows下离线重建与byte-stable检查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仓库提交9c8033d中的两份公开Word曾使用LibreOffice 26.2.5.2渲染为150 dpi逐页图：两页决策稿2页，仓库版完整分析底稿10页。逐页检查未发现截断、重叠、乱码和异常分页；曾出现的来源孤页已消除。qa/visual_review_receipt.json记录页数、文件哈希、审阅时间和检查项；运行python scripts/verify_project.py --require-visual后，render_verification=passed、manual_visual_qa=reviewed、submission_ready=true。本次提交材料另按学校与单位用途排版，页数以同目录清单为准。</w:t>
      </w:r>
    </w:p>
    <w:p>
      <w:pPr>
        <w:pStyle w:val="Heading1"/>
      </w:pPr>
      <w:r>
        <w:t>三、推断限制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Zone%按Statcast zone字段1—9计算，不代表具体位置质量。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先发与牛棚不是随机实验；23个牛棚打席不能给出角色因果。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MLB变速球只有29球，62.5% Whiff来自5/8次挥棒，不能外推长期效果。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NPB与MLB环境和价值模型不同，NPB xPV/100不与MLB Run Value/100直接相减。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面对打线轮次先筛选先发，再直接使用n_thruorder_pitcher，只作描述。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医疗、握法和动作信息不在公开数据中；统计阈值不能替代球队评估。</w:t>
      </w:r>
    </w:p>
    <w:p>
      <w:pPr>
        <w:pStyle w:val="Heading1"/>
      </w:pPr>
      <w:r>
        <w:t>四、过程留痕与工具边界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为保证过程可追溯，本项目记录了资料抓取、代码编写、计算、初稿分析和Word排版中的工具使用。工具输出不作为事实来源；数值证据均回到冻结快照、处理表或正式网页，观察性分组没有改写成因果，未取得的球队内部信息也没有补写。研究问题、指标口径、异常处理和最终判断由提交者逐项复核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最初任务及后续提示记录在docs/research/ai_prompt_log.md，判断变化记录在docs/research/hypothesis_log.md与docs/research/analysis_cycle_results.md。资料获取、数据冻结、初步诊断、球种修正、角色反证和成稿检查都能回到相应记录。本说明只交代复现和核查；分析判断为什么改变集中写在底稿03，不在此重复。</w:t>
      </w:r>
    </w:p>
    <w:p>
      <w:pPr>
        <w:pStyle w:val="Heading1"/>
      </w:pPr>
      <w:r>
        <w:t>五、最终Word检查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10"/>
        <w:gridCol w:w="4621"/>
        <w:gridCol w:w="2311"/>
      </w:tblGrid>
      <w:tr>
        <w:trPr>
          <w:tblHeader w:val="true"/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检查项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通过标准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本轮状态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两页决策稿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A4不超过2页；9pt微软雅黑；首段论点加粗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2页，通过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五份MLB文档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无截断、重叠、空白页和孤立标题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2、7、3、2、2页，均通过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事实与边界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核心数字可回到CSV；小样本和观察性措辞准确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身份与版本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姓名、学号、截止日、仓库commit一致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通过；仓库版本9c8033d</w:t>
            </w:r>
          </w:p>
        </w:tc>
      </w:tr>
      <w:tr>
        <w:trPr>
          <w:cantSplit/>
        </w:trPr>
        <w:tc>
          <w:tcPr>
            <w:tcW w:type="dxa" w:w="2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文件完整性</w:t>
            </w:r>
          </w:p>
        </w:tc>
        <w:tc>
          <w:tcPr>
            <w:tcW w:type="dxa" w:w="4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文件可打开；记录页数、SHA-256和修改时间</w:t>
            </w:r>
          </w:p>
        </w:tc>
        <w:tc>
          <w:tcPr>
            <w:tcW w:type="dxa" w:w="23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通过；校验值见同目录清单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五份本次MLB材料已用Microsoft Word直接打开并逐页检查；仓库两页决策稿和仓库版完整分析底稿的严格门禁也已通过。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底稿04　复现与交付核查说明</dc:title>
  <dc:subject/>
  <dc:creator>杨炎新</dc:creator>
  <cp:keywords/>
  <dc:description>generated by python-docx</dc:description>
  <cp:lastModifiedBy>杨炎新</cp:lastModifiedBy>
  <cp:revision>1</cp:revision>
  <dcterms:created xsi:type="dcterms:W3CDTF">2026-08-21T18:11:52Z</dcterms:created>
  <dcterms:modified xsi:type="dcterms:W3CDTF">2026-08-21T18:11:52Z</dcterms:modified>
  <cp:category/>
  <dc:identifier/>
  <dc:language>zh-CN</dc:language>
  <cp:version>1.0</cp:version>
</cp:coreProperties>
</file>