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底稿02　数据来源与指标口径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今井达也MLB调整决策｜数据截止2026年8月12日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杨炎新（3230102355）　｜　MLBAM ID 837227　｜　17份原始快照　｜　版本9c8033d</w:t>
      </w:r>
    </w:p>
    <w:p>
      <w:pPr>
        <w:pStyle w:val="Heading1"/>
      </w:pPr>
      <w:r>
        <w:t>一、这份底稿记录什么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稿只记录数据来源、字段口径、处理血缘和更新条件，不重复结论或行动建议。分析窗口为2026年3月29日至8月12日；原始文件于8月14日下载，因此“下载时间”不等于“数据截止日”。每份文件的URL、下载时间、字节数和SHA-256均登记在两份来源清单，原始快照不经手工改写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data/raw/source_manifest.csv；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data/raw/source_manifest.json。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主分析脚本analyze.py直接读取4份raw：StatsAPI比赛日志、Statcast逐球、Savant Expected Statistics和Savant Pitch Arsenal。跨联盟部分还读取两份已经冻结的NPB处理表：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npb_basement_imai_advanced_pitching_2023_2025.csv；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npb_basement_imai_pitch_values_2023_2025.csv。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其余raw并非都参加计算，有些只负责在联网刷新时重建处理表，有些只作为背景和审计留存。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比赛日志、打席和逐球是三个分析单位。比赛日志负责场次、角色、局数和官方结果；打席用于K%、BB%和首球指标；逐球用于球种、球数、挥棒、进区、打者侧别和面对打线轮次。64.2局是棒球记分法，表示64局加2个出局数。脚本先换算为194个出局数，再计算ERA，不能把64.2当成十进制数。</w:t>
      </w:r>
    </w:p>
    <w:p>
      <w:pPr>
        <w:pStyle w:val="Heading1"/>
      </w:pPr>
      <w:r>
        <w:t>二、17份原始快照用途台账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下表的“计算使用”指analyze.py直接读取；“刷新依赖”指fetch_data.py --refresh-data用来生成NPB处理表或发现年度数据模块；“背景留存”指保留网页或榜单作语境、人工核查和后续扩展，当前主计算不读取。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600"/>
        <w:gridCol w:w="3465"/>
        <w:gridCol w:w="1232"/>
        <w:gridCol w:w="3945"/>
      </w:tblGrid>
      <w:tr>
        <w:trPr>
          <w:tblHeader w:val="true"/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序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raw文件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分类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当前用途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statcast_imai_2026.csv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计算使用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1,241条原始记录；逐球指标、球种使用、分组和重算RV的基础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mlb_statsapi_game_log_2026.json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计算使用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17场日志；角色、出局数、打者数、K、BB、自责分和ERA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npb_imai_player_page.html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生成2018—2025年NPB官方传统统计表；当前主脚本不直接读取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savant_imai_player_page.html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Savant球员页快照，供球员身份和网页展示信息复核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mlb_imai_player_page.html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MLB球员页快照，供名单和基本资料复核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mlb_imai_adjustment_article_2026-05-31.html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适应过程的时间语境，不替代统计证据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mlb_imai_bullpen_article_2026-07-31.html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转入牛棚的时间语境，不用于估计角色效果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savant_expected_stats_pitchers_2026.csv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计算使用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按player_id筛选今井；当前只读取xera字段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savant_pitch_arsenal_stats_2026.csv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计算使用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球种级官方RV、RV/100、wOBA、xwOBA、Hard-hit%，并核对总球数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savant_percentile_rankings_2026.csv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百分位榜单快照；当前主脚本未读取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savant_pitch_movement_ff_2026.csv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四缝线位移榜单快照；当前主脚本未读取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savant_pitch_movement_sl_2026.csv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背景留存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滑球位移榜单快照；当前主脚本未读取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npb_basement_home.html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发现NPB Basement应用脚本的实际文件名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npb_basement_app.js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发现2023、2024、2025年度一军数据模块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npb_basement_2023_1g.js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提取今井2023年高级、球种和挥棒纪律数据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npb_basement_2024_1g.js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提取今井2024年高级、球种和挥棒纪律数据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3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npb_basement_2025_1g.js</w:t>
            </w:r>
          </w:p>
        </w:tc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刷新依赖</w:t>
            </w:r>
          </w:p>
        </w:tc>
        <w:tc>
          <w:tcPr>
            <w:tcW w:type="dxa" w:w="39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提取今井2025年高级、球种和挥棒纪律数据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第3项生成NPB官方传统统计表，第13—17项生成三类NPB Basement CSV和一份JSON。主分析只读取其中的高级投球表与球种价值表；官方传统统计表、挥棒纪律表和完整JSON留作核查，不写成“参加了主计算”。</w:t>
      </w:r>
    </w:p>
    <w:p>
      <w:pPr>
        <w:pStyle w:val="Heading1"/>
      </w:pPr>
      <w:r>
        <w:t>三、清洗、事件集合与分母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tatcast快照共1,241行。其中1条是第7球的automatic_ball，没有pitch_type。该行保留在raw中，但球种和逐球主分析只使用其余1,240行；它不是首球，所以288个打席的首球仍全部保留。K、BB和面对打者数取自StatsAPI，不靠删除后的逐球表反推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代码中的事件集合固定如下：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Swing包括swinging_strike、swinging_strike_blocked、foul、foul_tip、hit_into_play、foul_bunt、missed_bunt。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Whiff包括swinging_strike、swinging_strike_blocked、foul_tip、missed_bunt，是Swing的子集。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Ball包括ball、blocked_ball、hit_by_pitch、automatic_ball、pitchout。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首球好球要求pitch_number=1，且description不属于Ball。本样本149次成功由78次called_strike、23次swinging_strike、31次foul、16次hit_into_play和1次foul_bunt组成；分母是288个打席的第一球。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Zone指zone取1至9；区外球指zone非空且不在1至9。本冻结样本中541球进区、699球在区外，两者合计1,240球。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Chase指区外球同时属于Swing。因此追打率分母是699个区外球，不是总投球数或总挥棒数。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410"/>
        <w:gridCol w:w="2328"/>
        <w:gridCol w:w="2257"/>
        <w:gridCol w:w="3247"/>
      </w:tblGrid>
      <w:tr>
        <w:trPr>
          <w:tblHeader w:val="true"/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本样本计算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数值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主要落盘位置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 K / 288 BF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27.8%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analysis_summary.json；跨联盟outcomes表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BB%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 BB / 288 BF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14.6%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analysis_summary.json；跨联盟outcomes表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K-BB%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(80−42) / 288 BF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13.2%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npb_2025_vs_mlb_2026_outcomes.csv；analysis_summary.json没有该字段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541 / 1,240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43.6%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总览、角色、球种、侧别、球数和轮次表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首球好球率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149 / 288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51.7%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总览及角色表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Whiff%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175次Whiff / 542次Swing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32.3%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总览、角色、球种和侧别表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Chase%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190次Chase / 699个区外球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27.2%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总览、角色和侧别表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Usage%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某球种球数 / 1,240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见球种表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重算RV/100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Σdelta_pitcher_run_exp / 球数 × 100</w:t>
            </w:r>
          </w:p>
        </w:tc>
        <w:tc>
          <w:tcPr>
            <w:tcW w:type="dxa" w:w="2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分组计算</w:t>
            </w:r>
          </w:p>
        </w:tc>
        <w:tc>
          <w:tcPr>
            <w:tcW w:type="dxa" w:w="3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球种、侧别和球数表；正值对投手有利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角色由StatsAPI逐场记录确定：当场gamesStarted=1记为先发，其余出场记为牛棚。打者侧别使用stand；球数分组使用投球前的balls和strikes；面对打线轮次只在先发场次内按n_thruorder_pitcher分组。角色、侧别、球数和轮次比较都是观察性描述。角色表中的Zone、首球、Whiff和Chase另报Wilson 95%区间，小样本不会因给出区间而变成稳定估计。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qa/data_reconciliation.csv把1,240个带标签投球、80次三振、42次保送和17场比赛分别与Savant Arsenal或StatsAPI核对，四项差值均为0。差值为0只说明数据闭合，不表示研究结论已经得到因果验证。</w:t>
      </w:r>
    </w:p>
    <w:p>
      <w:r>
        <w:br w:type="page"/>
      </w:r>
    </w:p>
    <w:p>
      <w:pPr>
        <w:pStyle w:val="Heading1"/>
      </w:pPr>
      <w:r>
        <w:t>四、跨联盟字段边界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Expected Statistics文件在当前脚本中只提供MLB xERA（4.89）。MLB ERA由StatsAPI的自责分和194个出局数重算；K%和BB%也来自StatsAPI。不能把Expected文件笼统写成ERA、K%和BB%的共同来源。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 2025年的K%、BB%和K-BB%来自冻结的NPB Basement高级投球表。NPB官方处理表中可核对到ERA 1.92，但analyze.py目前在跨联盟outcomes表内直接写入常数1.92，没有在运行时读取该CSV字段。当前冻结值彼此一致；若参考年份或数据窗口变化，NPB ERA必须单独人工核对，不能假定刷新后会自动改动。</w:t>
      </w:r>
    </w:p>
    <w:p>
      <w:pPr>
        <w:pStyle w:val="Heading2"/>
      </w:pPr>
      <w:r>
        <w:t>4.1 球种标签与价值口径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 Basement与Statcast的球种标签、识别模型和比赛环境不同，CH与FS不能视为跨联盟一一对应。为检查结论是否只由标签迁移造成，另把CH和FS合并核对：NPB 2025为12.67%+4.37%=17.04%（17.0%），MLB 2026为2.34%+3.39%=5.73%（5.7%）。合并后该类球的使用占比仍下降，但这只是口径稳健性核对，不能证明两边每一球属于同一种球，也不能据此作因果解释。NPB的xPV/100与MLB的Run Value/100定义不同，只能在各自联盟内部解释，不作同尺度相减。</w:t>
      </w:r>
    </w:p>
    <w:p>
      <w:pPr>
        <w:pStyle w:val="Heading1"/>
      </w:pPr>
      <w:r>
        <w:t>五、数据更新的分段门禁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联网刷新命令为：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python scripts/run_pipeline.py --refresh-data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该命令会替换raw快照和来源清单，随后重跑分析、仓库报告与完整性检查。它不会自动修改本文件等.submission_revision_work/sources下的静态Markdown，也不会自动改写已经生成的提交版Word。因此，更新不能止于命令成功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86"/>
        <w:gridCol w:w="4158"/>
        <w:gridCol w:w="3698"/>
      </w:tblGrid>
      <w:tr>
        <w:trPr>
          <w:tblHeader w:val="true"/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必做检查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未通过时的处理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　确定窗口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修改配置中的截止日，说明为何更新，并保留旧版本哈希或Git提交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截止日和用途不清，不刷新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　刷新raw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显式运行--refresh-data；核对17项预期来源、URL、时间、哈希、Statcast球员ID和日期范围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来源缺失、网页结构变化或校验失败，停止发布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　重算与对账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完成analyze.py、build_reports.py、verify_project.py和测试；检查四项对账差值、缺失球种、zone缺失及各指标新分母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任何差值或异常未解释，不进入文档阶段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　人工更新静态材料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逐项修改本稿的截止日、样本数、149/288等分母、K-BB落盘位置、CH+FS核对、NPB ERA常数和版本号，再重新生成Word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不允许只替换正文中的少数赛季数字</w:t>
            </w:r>
          </w:p>
        </w:tc>
      </w:tr>
      <w:tr>
        <w:trPr>
          <w:cantSplit/>
        </w:trPr>
        <w:tc>
          <w:tcPr>
            <w:tcW w:type="dxa" w:w="1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　提交验收</w:t>
            </w:r>
          </w:p>
        </w:tc>
        <w:tc>
          <w:tcPr>
            <w:tcW w:type="dxa" w:w="41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比较新旧结果，检查表图与分页，确认Word、仓库输出和来源清单使用同一窗口</w:t>
            </w:r>
          </w:p>
        </w:tc>
        <w:tc>
          <w:tcPr>
            <w:tcW w:type="dxa" w:w="3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三处版本不一致，不替换提交包</w:t>
            </w:r>
          </w:p>
        </w:tc>
      </w:tr>
    </w:tbl>
    <w:p>
      <w:pPr>
        <w:spacing w:after="0" w:line="72" w:lineRule="auto"/>
        <w:ind w:firstLine="0"/>
      </w:pP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底稿02　数据来源与指标口径</dc:title>
  <dc:subject/>
  <dc:creator>杨炎新</dc:creator>
  <cp:keywords/>
  <dc:description>generated by python-docx</dc:description>
  <cp:lastModifiedBy>杨炎新</cp:lastModifiedBy>
  <cp:revision>1</cp:revision>
  <dcterms:created xsi:type="dcterms:W3CDTF">2026-08-25T15:59:28Z</dcterms:created>
  <dcterms:modified xsi:type="dcterms:W3CDTF">2026-08-25T15:59:28Z</dcterms:modified>
  <cp:category/>
  <dc:identifier/>
  <dc:language>zh-CN</dc:language>
  <cp:version>1.0</cp:version>
</cp:coreProperties>
</file>