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底稿03　分析迭代与反证记录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今井达也MLB调整决策｜研究过程、反证与未解问题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杨炎新（3230102355）　｜　项目记录：2026年8月14日至15日　｜　数据截止：2026年8月12日</w:t>
      </w:r>
    </w:p>
    <w:p>
      <w:pPr>
        <w:pStyle w:val="Heading1"/>
      </w:pPr>
      <w:r>
        <w:t>一、Git记录能证明什么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Git可以证明某个版本何时纳入了哪些文件，并复核当时保存的数据、代码和报告。它不能证明提交之间没有反复试算，也不能把同一次提交中的四项发现算成四轮独立研究。e2dcd1c一次加入首轮处理表、图和分析记录，所以下文把它视为一个分析阶段，再按假设分支说明支持与反证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Git也不能单独证明结论正确、角色变化具有因果效应，或一次本地检查能代表所有电脑上的Word效果。9c8033d中的收据只对应指定哈希的两份DOCX和当次LibreOffice渲染；文件重建、软件变化或内容修改后都要重查。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本页不重复抄录全部指标。数字与来源按下列路径复核：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总览与比赛：analysis_summary.json、mlb_game_log_2026.csv；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球种与分层：mlb_pitch_type_summary.csv及相应侧别、球数、角色和轮次表；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跨联盟：npb_2025_vs_mlb_2026_outcomes.csv、npb_2025_vs_mlb_2026_pitch_mix.csv；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原始来源：data/raw/source_manifest.csv。</w:t>
      </w:r>
    </w:p>
    <w:p>
      <w:pPr>
        <w:pStyle w:val="Heading1"/>
      </w:pPr>
      <w:r>
        <w:t>二、项目实际经历的五个阶段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20"/>
        <w:gridCol w:w="2376"/>
        <w:gridCol w:w="2851"/>
        <w:gridCol w:w="2695"/>
      </w:tblGrid>
      <w:tr>
        <w:trPr>
          <w:tblHeader w:val="true"/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阶段与版本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实际工作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Git能证明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Git不能证明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　方案与首批冻结数据；8月14日10:59；67095f9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写入研究协议、五项分析前假设和假设日志；保存首批8项原始来源、source_manifest和抓取脚本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结果产生前已列出球威、控球、球种、侧别和角色五条检查线；快照有URL、时间和SHA-256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此时没有指标计算，不能说假设已经得到支持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　一次首轮分析；8月14日11:13；e2dcd1c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扩充来源；生成处理CSV、analysis_summary.json、对账表、两张图和分析记录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17场、288打席和1,240个带球种标签投球能够闭合；四类问题在同一轮被拆开检查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四个分析小节不是四次独立实验，也没有识别因果；29球、23打席和161球仍是小样本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　来源说明与双报告；8月14日11:22；0ae1bf6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增加source_register，形成两页稿、完整稿及对应DOCX，并加入初版复现说明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来源用途和跨联盟口径已写明，新闻只作背景；短稿与可追溯底稿分层交付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报告成文不等于阈值经过未来样本验证，也不增加证据强度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　离线复现整理；8月14日14:54—15:20；60d0e7c—f05a183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统一目录和配置；建立冻结快照流水线、测试与CI；修正确定性构建、图形环境和Windows兼容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在规定依赖和冻结数据下，分析、图和报告有可复算路径；兼容修复有提交记录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复现只说明同一输入和规则能重算，不证明解释、阈值或教练方案有效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　交付QA收据；8月15日14:59；9c8033d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更新图文、测试和完整性报告；提交视觉收据，记录指定DOCX哈希及2页/10页检查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仓库保存了当次本地检查的对象、环境、页数和结论，且收据哈希与该版本文件对应</w:t>
            </w:r>
          </w:p>
        </w:tc>
        <w:tc>
          <w:tcPr>
            <w:tcW w:type="dxa" w:w="269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不能外推到重建文件或其他Word环境；该版本默认完整性报告仍把人工视觉门禁列为未运行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三、反证矩阵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下表不是把同一提交拆成六轮，而是把首轮分析中的六种解释分别压到“目前最弱还能成立的结论”。“未来推翻条件”表示下一批数据真正可能改变判断的情形。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600"/>
        <w:gridCol w:w="1596"/>
        <w:gridCol w:w="1780"/>
        <w:gridCol w:w="1780"/>
        <w:gridCol w:w="1780"/>
        <w:gridCol w:w="1706"/>
      </w:tblGrid>
      <w:tr>
        <w:trPr>
          <w:tblHeader w:val="true"/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解释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初始解释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支持它的迹象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反证或替代解释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当前最弱保留结论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未来推翻条件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整体球威下降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高ERA来自球速或制造挥空能力下降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ERA 5.29、xERA 4.89，赛季结果明显不理想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K%=27.8%、Whiff%=32.3%、四缝线均速约94.9 mph并未同步下降；BB%=14.6%、Zone%=43.6%、首球好球率=51.7%更直接指向球数控制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公开数据未显示三振、挥空和四缝线球速整体下降；当前先处理进区和首球执行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新窗口中K%、Whiff%和球速或球形共同持续下降，且不能由健康、对手和控球变化解释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滑球过多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45.3%的滑球使用率本身造成表现问题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四缝线与滑球合计88.9%，配球确实集中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滑球Whiff%=40.6%、官方Run Value +4，按左右打拆分仍为投手正值；高占比不等于低质量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没有证据支持机械削减滑球；增加第三球种应是补充，而不是先拿掉现有最好球种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扩大样本后滑球的球形、落点、挥空和接触质量共同恶化，或医疗与动作评估认为高用量不可持续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恢复变速球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把NPB时期的变速球恢复即可解决第三球种问题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2025使用率12.7%、Whiff%=41.6%、xPV/100为正；MLB使用率降至2.3%，速度差由约10.1缩至8.0 mph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NPB与MLB价值口径不可直接相减；MLB仅29球、8次挥棒，表面结果互相矛盾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变速球值得在可控条件下重新试验，但其MLB效果尚未得到证明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在使用、速度差、落点和球形稳定后，较大样本仍出现较差接触与失去挥空；或健康、动作数据不支持继续使用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四缝线对左打风险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四缝线整体失效，应全面降用量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对左打311球，Whiff%=15.4%、RV/100=-1.27；对右打RV/100=+1.47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侧别分组仍受对手、球数和落点选择影响，四缝线总体结果接近中性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优先检查对左打的落点与变速球衔接，不把结论推广到所有打者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新增样本或球队内部位置、球形和配球意图数据表明侧别差异消失、反转，或主要问题出在另一情境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永久转牛棚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两次牛棚过程指标改善，说明长期后援更合适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89球、23打席中Zone%=46.1%、首球好球率=73.9%、Whiff%=40.0%，方向积极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样本很小，区间宽；日期、健康、对手与角色同时变化，四缝线均速也没有提高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牛棚可作为短期校准环境，现有数据不足以决定永久角色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更大且可比的角色样本持续显示牛棚优势，同时先发负荷下反复未达过程或健康条件；反之则支持重返先发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第三轮必然崩盘</w:t>
            </w:r>
          </w:p>
        </w:tc>
        <w:tc>
          <w:tcPr>
            <w:tcW w:type="dxa" w:w="15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先发问题来自第三次面对打线后的疲劳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先发表现波动和随后转入牛棚，使这一解释看起来合理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第三轮只有161球，但四缝线球速未下降，投手视角Run Value合计仍为正；现有结果不符合简单崩盘叙事</w:t>
            </w:r>
          </w:p>
        </w:tc>
        <w:tc>
          <w:tcPr>
            <w:tcW w:type="dxa" w:w="17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当前数据不支持“第三轮必然失效”，轮次效应仍是待观察问题</w:t>
            </w:r>
          </w:p>
        </w:tc>
        <w:tc>
          <w:tcPr>
            <w:tcW w:type="dxa" w:w="17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在更多可比比赛中，第三轮的进区、球速或接触质量反复恶化，且调整对手、球数和球种后仍存在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四、阈值只是下一阶段实验触发器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至少60个打席、滚动60个打席、Zone%≥46%、首球好球率≥60%、BB%≤10%、BB%&gt;12%的退回线、变速球8%—12%与约8 mph速度差下限，以及45→60→75球的负荷阶梯，都是预先写下的管理规则。它们用于统一教练组下一次“升级、维持或退回”的判断，减少看到单场ERA后临时改口。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这些数值不是从23个牛棚打席中估出的能力分界，也没有经过前瞻验证。达到门槛只表示可以进入下一阶段观察，不证明已经具备稳定MLB先发能力；没有达到也不等于永久不能先发。疼痛、疲劳或医疗检查异常时，健康判断优先于任何统计触发器。下一批数据应保留每次评估时的窗口、分子分母和当时决定，才能检验这套规则是否需要调整。</w:t>
      </w:r>
    </w:p>
    <w:p>
      <w:pPr>
        <w:pStyle w:val="Heading1"/>
      </w:pPr>
      <w:r>
        <w:t>五、未解决问题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公开数据没有动作捕捉、握法、力量和完整医疗信息，无法判断控球变化的身体原因。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NPB与MLB的比赛用球、打者、球场和追踪系统不同，跨联盟比较只能说明结构变化，不能证明同一球种会复制原有效果。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牛棚、变速球和第三轮样本都偏小；尤其需要避免把29球、23打席或161球写成稳定能力。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角色变化与日期、伤后恢复、对手和使用方式同时发生，当前研究没有识别牛棚角色的因果效应。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底稿03　分析迭代与反证记录</dc:title>
  <dc:subject/>
  <dc:creator>杨炎新</dc:creator>
  <cp:keywords/>
  <dc:description>generated by python-docx</dc:description>
  <cp:lastModifiedBy>杨炎新</cp:lastModifiedBy>
  <cp:revision>1</cp:revision>
  <dcterms:created xsi:type="dcterms:W3CDTF">2026-08-25T15:59:28Z</dcterms:created>
  <dcterms:modified xsi:type="dcterms:W3CDTF">2026-08-25T15:59:28Z</dcterms:modified>
  <cp:category/>
  <dc:identifier/>
  <dc:language>zh-CN</dc:language>
  <cp:version>1.0</cp:version>
</cp:coreProperties>
</file>