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底稿04　复现与交付核查说明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环境、冻结复现、证据分层与提交验收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杨炎新（3230102355）　｜　数据截止：2026年8月12日　｜　最终版本：9c8033d</w:t>
      </w:r>
    </w:p>
    <w:p>
      <w:pPr>
        <w:pStyle w:val="Heading1"/>
      </w:pPr>
      <w:r>
        <w:t>一、说明范围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说明只回答两件事：冻结项目怎样运行，以及交付物怎样验收。数据来源、指标口径和四项对账的具体数值见底稿02；研究判断如何经过证据检验和反证而改变见底稿03。本稿不重复分析结论和推断限制，以免同一事实分散在多份材料中后出现版本差异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本轮对应仓库commit为9c8033d181b5077e29aa67c8606e49f8db4ac842。核查时本地main、origin/main与该commit一致，工作区无未提交改动；GitHub Actions run 31870800186已在同一commit上运行成功。远程CI证明的是仓库冻结流程和测试在规定环境中通过，不代替最终提交Word的内容、页数和签章检查。</w:t>
      </w:r>
    </w:p>
    <w:p>
      <w:pPr>
        <w:pStyle w:val="Heading1"/>
      </w:pPr>
      <w:r>
        <w:t>二、环境建立与冻结复现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参考验收环境为Windows、Python 3.12.13。requirements.txt已固定numpy 2.3.5、pandas 3.0.1、Pillow 12.3.0、python-docx 1.2.0、lxml 6.1.1和pypdf 6.10.0。进入MLB-Analytics目录后，先建立独立环境：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 -3.12 -m venv .venv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-m pip install --upgrade pip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-m pip install -r requirements.txt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冻结复现不访问网络，也不覆盖data/raw。执行：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scripts\run_pipeline.py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.\.venv\Scripts\python.exe -m unittest discover -s tests -v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第一条命令依次运行analyze.py、build_reports.py和verify_project.py；第二条命令运行测试。当前冻结版本中，流水线返回0，12项测试通过，qa/integrity_report.json中的overall_pass为true。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这里需要区分“来源档案”和“本次计算输入”。data/raw/source_manifest.csv与.json登记17份原始来源快照；校验程序会逐项核对文件字节数和精确SHA-256，并检查两份manifest记录一致。这17份文件共同构成来源留档，但不等于analyze.py会逐一读取它们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当前分析脚本直接读取4份raw文件：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mlb_statsapi_game_log_2026.json；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statcast_imai_2026.csv；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savant_pitch_arsenal_stats_2026.csv；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savant_expected_stats_pitchers_2026.csv。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脚本还直接依赖两份已经冻结的NPB处理表：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data/processed/npb_basement_imai_advanced_pitching_2023_2025.csv；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data/processed/npb_basement_imai_pitch_values_2023_2025.csv。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因此，现有离线流程能够从上述输入重算MLB分析表、图和报告，但不是把17份raw全部重新加工成所有processed文件的完整链条。复现时应保留仓库中的冻结processed目录；17份raw的作用是来源追溯、哈希核查以及今后刷新时的留档。</w:t>
      </w:r>
    </w:p>
    <w:p>
      <w:pPr>
        <w:pStyle w:val="Heading1"/>
      </w:pPr>
      <w:r>
        <w:t>三、刷新数据时的分段检查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python scripts/run_pipeline.py --refresh-data会依次联网抓取、分析、构建报告并校验，但它不能单独作为“新版本已经完成”的凭据。原因是build_reports.py读取的是reports/sources/formal_manuscript.md和reports/sources/full_analysis_draft.md两份静态文字源；数据更新后，正文中的数字不会自动改写。为了避免“表已更新、文字仍是旧值”，建立新冻结点时按下列顺序执行：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新建分支或工作副本，先在config/analysis.json写明新的截止日期与球员标识。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scripts/fetch_data.py --refresh-data，保存新raw和来源manifest。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检查来源URL、抓取时间、球员ID、文件字节数、行数和SHA-256，确认下载窗口没有混入旧文件。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scripts/analyze.py，再逐项查看data/processed和outputs/figures的差异。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根据新结果人工更新两份报告Markdown，逐一核对标题、摘要、正文、表格和图注中的核心数字。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scripts/build_reports.py生成仓库公开Word。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运行python scripts/verify_project.py和全部单元测试；任何一项失败都停止发布。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另行渲染Word，逐页检查截断、重叠、表图清晰度、页码和孤立标题。</w:t>
      </w:r>
    </w:p>
    <w:p>
      <w:pPr>
        <w:pStyle w:val="ListNumber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只有上述检查全部完成，才更新截止日、清单和版本号并提交新的冻结commit。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这样把“抓取—计算—文字更新—自动校验—视觉验收”分开留痕，能够明确错误发生在哪一段，也避免把一次能运行的命令误当成完整交付。</w:t>
      </w:r>
    </w:p>
    <w:p>
      <w:pPr>
        <w:pStyle w:val="Heading1"/>
      </w:pPr>
      <w:r>
        <w:t>四、自动校验能证明什么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自动校验的范围需要按脚本实际能力解释。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一，公开范围隐私扫描本轮共读取24份可扫描文件，只匹配邮箱、中国大陆手机号、10位数字学号和C:\Users\...本机路径四类模式。对于DOCX，程序只读取word/document.xml和docProps/core.xml，不覆盖页眉、批注、嵌入媒体等全部部件，也不识别人名。因此准确结论是“在规定的24份文件和四类规则中未发现匹配项”；姓名、单位、学号与签章位置仍需人工核对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二，qa/artifact_manifest.csv当前登记45项受控产物，并不是全仓库文件清单。其范围包括配置、研究记录、processed数据、最终图、报告文本与公开Word、脚本、测试、工作流以及指定根文件；data/raw、本地渲染目录、缓存和若干临时QA文件不在其中。清单也采用三种摘要口径：文本先统一换行为LF后计算text-lf-sha256-v1，DOCX按压缩包成员名称和内容计算zip-content-sha256-v1并忽略ZIP时间戳，其余二进制才使用精确文件字节的file-sha256-v1。所以45项中的sha256字段不能一概解释为原文件逐字节哈希。raw的精确哈希以来源manifest为准，最终提交Word的精确文件SHA-256以提交目录中的提交文件清单_SHA256.txt为准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第三，仓库默认不保存qa/rendered和qa/local_visual_report.json等本地渲染缓存。clean clone可通过冻结流水线，但直接运行python scripts/verify_project.py --require-visual时没有这些PDF，不能得到可提交状态。仓库中的qa/visual_review_receipt.json记录过一次LibreOffice 26.2.5.2、150 dpi的人工逐页检查：两页决策稿2页，仓库版完整分析底稿10页。该收据虽然写有DOCX和PDF哈希，但当前校验脚本只检查PDF能否读取、页数是否满足规则，以及收据状态是否为reviewed，不会把收据哈希与当前文件重新比对。因此它是一份当次本地人工检查记录，不是与当前文件自动绑定的密码学门禁。</w:t>
      </w:r>
    </w:p>
    <w:p>
      <w:pPr>
        <w:pStyle w:val="Heading1"/>
      </w:pPr>
      <w:r>
        <w:t>五、三类证据与验收责任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32"/>
        <w:gridCol w:w="1745"/>
        <w:gridCol w:w="2361"/>
        <w:gridCol w:w="1643"/>
        <w:gridCol w:w="2261"/>
      </w:tblGrid>
      <w:tr>
        <w:trPr>
          <w:tblHeader w:val="true"/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证据类别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核查对象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核查方式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当前结果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适用边界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17份raw来源档案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字节数、精确SHA-256及CSV/JSON manifest一致性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证明档案未变，不表示17份均被分析脚本读取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数据、核心指标与公开Word结构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四项数据对账、冻结数字断言、A4/字体/图片等结构检查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通过；详细对账见底稿02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结构通过不等于已逐页看过版面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流程与测试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离线流水线、12项测试、Windows远程CI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只对应commit 9c8033d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仓库自动证据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公开范围隐私与45项产物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四类正则扫描；按digest_kind生成确定顺序清单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不扫描人名，不是全仓库逐字节清单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本地人工视觉证据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仓库两份公开Word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LibreOffice渲染为PDF/PNG后逐页查看并留收据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2页和10页已检查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clean clone无缓存；脚本不校验收据哈希绑定</w:t>
            </w:r>
          </w:p>
        </w:tc>
      </w:tr>
      <w:tr>
        <w:trPr>
          <w:cantSplit/>
        </w:trPr>
        <w:tc>
          <w:tcPr>
            <w:tcW w:type="dxa" w:w="1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最终提交证据</w:t>
            </w:r>
          </w:p>
        </w:tc>
        <w:tc>
          <w:tcPr>
            <w:tcW w:type="dxa" w:w="17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本次五份MLB提交Word</w:t>
            </w:r>
          </w:p>
        </w:tc>
        <w:tc>
          <w:tcPr>
            <w:tcW w:type="dxa" w:w="2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Microsoft Word原生打开、渲染并逐页检查；另记页数和文件SHA-256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由提交包清单记录</w:t>
            </w:r>
          </w:p>
        </w:tc>
        <w:tc>
          <w:tcPr>
            <w:tcW w:type="dxa" w:w="22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与仓库公开Word的LibreOffice收据分开管理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默认运行verify_project.py后，overall_pass=true而submission_ready=false是预期状态：前者表示离线数据、代码和文档结构门禁通过，后者还要求本机已具备渲染文件和明确的人工审阅记录。不能为了得到submission_ready=true而复制旧缓存或只补写一条“已审阅”状态。</w:t>
      </w:r>
    </w:p>
    <w:p>
      <w:pPr>
        <w:pStyle w:val="Heading1"/>
      </w:pPr>
      <w:r>
        <w:t>六、最终交付检查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正式提交前按以下顺序收口：先确认冻结commit和数据截止日；再运行离线流水线与12项测试；随后在Microsoft Word中打开五份提交材料，逐页检查截断、重叠、异常空白、表图可读性、页码和孤立标题；最后人工核对姓名、学号、单位、日期、需签字盖章的位置。学校表单或单位签章属于人工责任，不由代码自动填写或推断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按“蒋总两页、底稿01—04”顺序，页数为2、8、4、3、3页；精确SHA-256见同目录清单，任何改动后须重新逐页检查并重算清单。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底稿04　复现与交付核查说明</dc:title>
  <dc:subject/>
  <dc:creator>杨炎新</dc:creator>
  <cp:keywords/>
  <dc:description>generated by python-docx</dc:description>
  <cp:lastModifiedBy>杨炎新</cp:lastModifiedBy>
  <cp:revision>1</cp:revision>
  <dcterms:created xsi:type="dcterms:W3CDTF">2026-08-25T15:59:28Z</dcterms:created>
  <dcterms:modified xsi:type="dcterms:W3CDTF">2026-08-25T15:59:28Z</dcterms:modified>
  <cp:category/>
  <dc:identifier/>
  <dc:language>zh-CN</dc:language>
  <cp:version>1.0</cp:version>
</cp:coreProperties>
</file>