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黑体" w:cs="Arial"/>
          <w:b/>
          <w:color w:val="000000"/>
          <w:sz w:val="34"/>
        </w:rPr>
        <w:t>底稿02　数据来源与指标口径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今井达也MLB调整决策｜数据截止2026年8月12日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MLBAM ID 837227　｜　8类来源、17份原始快照　｜　最终版本 9c8033d</w:t>
      </w:r>
    </w:p>
    <w:p>
      <w:pPr>
        <w:pStyle w:val="Heading1"/>
      </w:pPr>
      <w:r>
        <w:t>一、版本与分析单位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本次分析覆盖2026年3月29日至8月12日。比赛日志负责场次、角色、局数和官方结果；打席用于K%、BB%及角色比较；逐球用于球种、球数、挥棒、打者侧别和轮次。三层数据各有分母，不能混用。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比赛日志中的64.2局采用棒球记分法，表示64局加2个出局数，即64又2/3局；计算ERA时先统一换算为194个出局数，不能把64.2当作十进制局数。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原始网页、JSON和CSV共17份，保存在data/raw，下载时间、字节数和SHA-256列在data/raw/source_manifest.csv。处理表写入data/processed，不会覆盖原始快照。默认运行使用冻结文件；只有明确执行python scripts/run_pipeline.py --refresh-data时才联网建立新窗口。</w:t>
      </w:r>
    </w:p>
    <w:p>
      <w:pPr>
        <w:pStyle w:val="Heading1"/>
      </w:pPr>
      <w:r>
        <w:t>二、八类来源及职责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770"/>
        <w:gridCol w:w="1870"/>
        <w:gridCol w:w="2200"/>
        <w:gridCol w:w="2750"/>
        <w:gridCol w:w="1652"/>
      </w:tblGrid>
      <w:tr>
        <w:trPr>
          <w:tblHeader w:val="true"/>
          <w:cantSplit/>
        </w:trPr>
        <w:tc>
          <w:tcPr>
            <w:tcW w:type="dxa" w:w="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编号</w:t>
            </w:r>
          </w:p>
        </w:tc>
        <w:tc>
          <w:tcPr>
            <w:tcW w:type="dxa" w:w="1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来源</w:t>
            </w:r>
          </w:p>
        </w:tc>
        <w:tc>
          <w:tcPr>
            <w:tcW w:type="dxa" w:w="2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用途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本地文件</w:t>
            </w:r>
          </w:p>
        </w:tc>
        <w:tc>
          <w:tcPr>
            <w:tcW w:type="dxa" w:w="1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S1</w:t>
            </w:r>
          </w:p>
        </w:tc>
        <w:tc>
          <w:tcPr>
            <w:tcW w:type="dxa" w:w="1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 StatsAPI</w:t>
            </w:r>
          </w:p>
        </w:tc>
        <w:tc>
          <w:tcPr>
            <w:tcW w:type="dxa" w:w="2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17场、角色、局数、K、BB、ERA核对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mlb_statsapi_game_log_2026.json；mlb_game_log_2026.csv</w:t>
            </w:r>
          </w:p>
        </w:tc>
        <w:tc>
          <w:tcPr>
            <w:tcW w:type="dxa" w:w="1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不含完整逐球位置</w:t>
            </w:r>
          </w:p>
        </w:tc>
      </w:tr>
      <w:tr>
        <w:trPr>
          <w:cantSplit/>
        </w:trPr>
        <w:tc>
          <w:tcPr>
            <w:tcW w:type="dxa" w:w="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S2</w:t>
            </w:r>
          </w:p>
        </w:tc>
        <w:tc>
          <w:tcPr>
            <w:tcW w:type="dxa" w:w="1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Baseball Savant Statcast Search</w:t>
            </w:r>
          </w:p>
        </w:tc>
        <w:tc>
          <w:tcPr>
            <w:tcW w:type="dxa" w:w="2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球种、球数、zone、挥棒、侧别、轮次、逐球价值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statcast_imai_2026.csv</w:t>
            </w:r>
          </w:p>
        </w:tc>
        <w:tc>
          <w:tcPr>
            <w:tcW w:type="dxa" w:w="1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1条自动坏球无球种标签</w:t>
            </w:r>
          </w:p>
        </w:tc>
      </w:tr>
      <w:tr>
        <w:trPr>
          <w:cantSplit/>
        </w:trPr>
        <w:tc>
          <w:tcPr>
            <w:tcW w:type="dxa" w:w="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S3</w:t>
            </w:r>
          </w:p>
        </w:tc>
        <w:tc>
          <w:tcPr>
            <w:tcW w:type="dxa" w:w="1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 Expected Statistics</w:t>
            </w:r>
          </w:p>
        </w:tc>
        <w:tc>
          <w:tcPr>
            <w:tcW w:type="dxa" w:w="2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ERA、xERA和赛季级指标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savant_expected_stats_pitchers_2026.csv</w:t>
            </w:r>
          </w:p>
        </w:tc>
        <w:tc>
          <w:tcPr>
            <w:tcW w:type="dxa" w:w="1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赛季汇总，不替代逐球</w:t>
            </w:r>
          </w:p>
        </w:tc>
      </w:tr>
      <w:tr>
        <w:trPr>
          <w:cantSplit/>
        </w:trPr>
        <w:tc>
          <w:tcPr>
            <w:tcW w:type="dxa" w:w="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S4</w:t>
            </w:r>
          </w:p>
        </w:tc>
        <w:tc>
          <w:tcPr>
            <w:tcW w:type="dxa" w:w="1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 Pitch Arsenal</w:t>
            </w:r>
          </w:p>
        </w:tc>
        <w:tc>
          <w:tcPr>
            <w:tcW w:type="dxa" w:w="2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球种使用、Whiff、wOBA/xwOBA、官方RV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savant_pitch_arsenal_stats_2026.csv</w:t>
            </w:r>
          </w:p>
        </w:tc>
        <w:tc>
          <w:tcPr>
            <w:tcW w:type="dxa" w:w="1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低频球种波动大</w:t>
            </w:r>
          </w:p>
        </w:tc>
      </w:tr>
      <w:tr>
        <w:trPr>
          <w:cantSplit/>
        </w:trPr>
        <w:tc>
          <w:tcPr>
            <w:tcW w:type="dxa" w:w="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S5</w:t>
            </w:r>
          </w:p>
        </w:tc>
        <w:tc>
          <w:tcPr>
            <w:tcW w:type="dxa" w:w="1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NPB官方球员页</w:t>
            </w:r>
          </w:p>
        </w:tc>
        <w:tc>
          <w:tcPr>
            <w:tcW w:type="dxa" w:w="2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2018—2025传统投球统计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npb_imai_player_page.html；npb_imai_pitching_2018_2025.csv</w:t>
            </w:r>
          </w:p>
        </w:tc>
        <w:tc>
          <w:tcPr>
            <w:tcW w:type="dxa" w:w="1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粒度较低</w:t>
            </w:r>
          </w:p>
        </w:tc>
      </w:tr>
      <w:tr>
        <w:trPr>
          <w:cantSplit/>
        </w:trPr>
        <w:tc>
          <w:tcPr>
            <w:tcW w:type="dxa" w:w="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S6</w:t>
            </w:r>
          </w:p>
        </w:tc>
        <w:tc>
          <w:tcPr>
            <w:tcW w:type="dxa" w:w="1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 Basement（第三方）</w:t>
            </w:r>
          </w:p>
        </w:tc>
        <w:tc>
          <w:tcPr>
            <w:tcW w:type="dxa" w:w="2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2023—2025高级指标、球种、球速和xPV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npb_basement_*.js；npb_basement_imai_*.csv</w:t>
            </w:r>
          </w:p>
        </w:tc>
        <w:tc>
          <w:tcPr>
            <w:tcW w:type="dxa" w:w="1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非官方；价值模型与MLB不同</w:t>
            </w:r>
          </w:p>
        </w:tc>
      </w:tr>
      <w:tr>
        <w:trPr>
          <w:cantSplit/>
        </w:trPr>
        <w:tc>
          <w:tcPr>
            <w:tcW w:type="dxa" w:w="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S7</w:t>
            </w:r>
          </w:p>
        </w:tc>
        <w:tc>
          <w:tcPr>
            <w:tcW w:type="dxa" w:w="1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MLB.com，2026-05-31</w:t>
            </w:r>
          </w:p>
        </w:tc>
        <w:tc>
          <w:tcPr>
            <w:tcW w:type="dxa" w:w="2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适应与健康背景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mlb_imai_adjustment_article_2026-05-31.html</w:t>
            </w:r>
          </w:p>
        </w:tc>
        <w:tc>
          <w:tcPr>
            <w:tcW w:type="dxa" w:w="1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只作语境</w:t>
            </w:r>
          </w:p>
        </w:tc>
      </w:tr>
      <w:tr>
        <w:trPr>
          <w:cantSplit/>
        </w:trPr>
        <w:tc>
          <w:tcPr>
            <w:tcW w:type="dxa" w:w="7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S8</w:t>
            </w:r>
          </w:p>
        </w:tc>
        <w:tc>
          <w:tcPr>
            <w:tcW w:type="dxa" w:w="18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MLB.com，2026-07-31</w:t>
            </w:r>
          </w:p>
        </w:tc>
        <w:tc>
          <w:tcPr>
            <w:tcW w:type="dxa" w:w="220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转入牛棚的时间背景</w:t>
            </w:r>
          </w:p>
        </w:tc>
        <w:tc>
          <w:tcPr>
            <w:tcW w:type="dxa" w:w="27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mlb_imai_bullpen_article_2026-07-31.html</w:t>
            </w:r>
          </w:p>
        </w:tc>
        <w:tc>
          <w:tcPr>
            <w:tcW w:type="dxa" w:w="165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只作语境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1"/>
      </w:pPr>
      <w:r>
        <w:t>三、清洗与对账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Statcast原始文件有1,241行。其中一条自动坏球事件没有球种标签，原始记录保留，球种主分析使用其余1,240行。三振、保送、比赛数和角色以StatsAPI核对。qa/data_reconciliation.csv给出四项差值：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3080"/>
        <w:gridCol w:w="2224"/>
        <w:gridCol w:w="2224"/>
        <w:gridCol w:w="1714"/>
      </w:tblGrid>
      <w:tr>
        <w:trPr>
          <w:tblHeader w:val="true"/>
          <w:cantSplit/>
        </w:trPr>
        <w:tc>
          <w:tcPr>
            <w:tcW w:type="dxa" w:w="3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校验项</w:t>
            </w:r>
          </w:p>
        </w:tc>
        <w:tc>
          <w:tcPr>
            <w:tcW w:type="dxa" w:w="2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处理结果</w:t>
            </w:r>
          </w:p>
        </w:tc>
        <w:tc>
          <w:tcPr>
            <w:tcW w:type="dxa" w:w="2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官方参考</w:t>
            </w:r>
          </w:p>
        </w:tc>
        <w:tc>
          <w:tcPr>
            <w:tcW w:type="dxa" w:w="17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差值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带球种标签投球</w:t>
            </w:r>
          </w:p>
        </w:tc>
        <w:tc>
          <w:tcPr>
            <w:tcW w:type="dxa" w:w="2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1,240</w:t>
            </w:r>
          </w:p>
        </w:tc>
        <w:tc>
          <w:tcPr>
            <w:tcW w:type="dxa" w:w="2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1,240</w:t>
            </w:r>
          </w:p>
        </w:tc>
        <w:tc>
          <w:tcPr>
            <w:tcW w:type="dxa" w:w="17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三振</w:t>
            </w:r>
          </w:p>
        </w:tc>
        <w:tc>
          <w:tcPr>
            <w:tcW w:type="dxa" w:w="2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80</w:t>
            </w:r>
          </w:p>
        </w:tc>
        <w:tc>
          <w:tcPr>
            <w:tcW w:type="dxa" w:w="2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80</w:t>
            </w:r>
          </w:p>
        </w:tc>
        <w:tc>
          <w:tcPr>
            <w:tcW w:type="dxa" w:w="17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保送</w:t>
            </w:r>
          </w:p>
        </w:tc>
        <w:tc>
          <w:tcPr>
            <w:tcW w:type="dxa" w:w="2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42</w:t>
            </w:r>
          </w:p>
        </w:tc>
        <w:tc>
          <w:tcPr>
            <w:tcW w:type="dxa" w:w="2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42</w:t>
            </w:r>
          </w:p>
        </w:tc>
        <w:tc>
          <w:tcPr>
            <w:tcW w:type="dxa" w:w="17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30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比赛</w:t>
            </w:r>
          </w:p>
        </w:tc>
        <w:tc>
          <w:tcPr>
            <w:tcW w:type="dxa" w:w="2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22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17</w:t>
            </w:r>
          </w:p>
        </w:tc>
        <w:tc>
          <w:tcPr>
            <w:tcW w:type="dxa" w:w="171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0</w:t>
            </w:r>
          </w:p>
        </w:tc>
      </w:tr>
    </w:tbl>
    <w:p>
      <w:pPr>
        <w:spacing w:after="0" w:line="72" w:lineRule="auto"/>
        <w:ind w:firstLine="0"/>
      </w:pP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差值为0说明主样本与官方结果闭合，不能代替对结论的判断。异常行没有被强行补球种，也没有影响K、BB或场次计算。</w:t>
      </w:r>
    </w:p>
    <w:p>
      <w:pPr>
        <w:pStyle w:val="Heading1"/>
      </w:pPr>
      <w:r>
        <w:t>四、指标字典</w:t>
      </w:r>
    </w:p>
    <w:tbl>
      <w:tblPr>
        <w:tblW w:type="dxa" w:w="924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127"/>
        <w:gridCol w:w="2254"/>
        <w:gridCol w:w="1690"/>
        <w:gridCol w:w="2366"/>
        <w:gridCol w:w="1805"/>
      </w:tblGrid>
      <w:tr>
        <w:trPr>
          <w:tblHeader w:val="true"/>
          <w:cantSplit/>
        </w:trPr>
        <w:tc>
          <w:tcPr>
            <w:tcW w:type="dxa" w:w="11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指标</w:t>
            </w:r>
          </w:p>
        </w:tc>
        <w:tc>
          <w:tcPr>
            <w:tcW w:type="dxa" w:w="2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分子与分母</w:t>
            </w:r>
          </w:p>
        </w:tc>
        <w:tc>
          <w:tcPr>
            <w:tcW w:type="dxa" w:w="1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原始字段/来源</w:t>
            </w:r>
          </w:p>
        </w:tc>
        <w:tc>
          <w:tcPr>
            <w:tcW w:type="dxa" w:w="23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主要输出</w:t>
            </w:r>
          </w:p>
        </w:tc>
        <w:tc>
          <w:tcPr>
            <w:tcW w:type="dxa" w:w="1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DEDED"/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Arial" w:hAnsi="Arial" w:eastAsia="黑体" w:cs="Arial"/>
                <w:b/>
                <w:color w:val="000000"/>
                <w:sz w:val="19"/>
              </w:rPr>
              <w:t>解释限制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K%</w:t>
            </w:r>
          </w:p>
        </w:tc>
        <w:tc>
          <w:tcPr>
            <w:tcW w:type="dxa" w:w="2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80 K / 288 BF</w:t>
            </w:r>
          </w:p>
        </w:tc>
        <w:tc>
          <w:tcPr>
            <w:tcW w:type="dxa" w:w="1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StatsAPI</w:t>
            </w:r>
          </w:p>
        </w:tc>
        <w:tc>
          <w:tcPr>
            <w:tcW w:type="dxa" w:w="23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</w:t>
            </w:r>
          </w:p>
        </w:tc>
        <w:tc>
          <w:tcPr>
            <w:tcW w:type="dxa" w:w="1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跨联盟环境不同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BB%</w:t>
            </w:r>
          </w:p>
        </w:tc>
        <w:tc>
          <w:tcPr>
            <w:tcW w:type="dxa" w:w="2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42 BB / 288 BF</w:t>
            </w:r>
          </w:p>
        </w:tc>
        <w:tc>
          <w:tcPr>
            <w:tcW w:type="dxa" w:w="1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StatsAPI</w:t>
            </w:r>
          </w:p>
        </w:tc>
        <w:tc>
          <w:tcPr>
            <w:tcW w:type="dxa" w:w="23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</w:t>
            </w:r>
          </w:p>
        </w:tc>
        <w:tc>
          <w:tcPr>
            <w:tcW w:type="dxa" w:w="1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同上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K-BB%</w:t>
            </w:r>
          </w:p>
        </w:tc>
        <w:tc>
          <w:tcPr>
            <w:tcW w:type="dxa" w:w="2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K%−BB%</w:t>
            </w:r>
          </w:p>
        </w:tc>
        <w:tc>
          <w:tcPr>
            <w:tcW w:type="dxa" w:w="1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上述两项</w:t>
            </w:r>
          </w:p>
        </w:tc>
        <w:tc>
          <w:tcPr>
            <w:tcW w:type="dxa" w:w="23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analysis_summary.json</w:t>
            </w:r>
          </w:p>
        </w:tc>
        <w:tc>
          <w:tcPr>
            <w:tcW w:type="dxa" w:w="1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仍受对手质量影响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Zone%</w:t>
            </w:r>
          </w:p>
        </w:tc>
        <w:tc>
          <w:tcPr>
            <w:tcW w:type="dxa" w:w="2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zone为1—9的541球 / 1,240个带球种标签投球</w:t>
            </w:r>
          </w:p>
        </w:tc>
        <w:tc>
          <w:tcPr>
            <w:tcW w:type="dxa" w:w="1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Statcast zone</w:t>
            </w:r>
          </w:p>
        </w:tc>
        <w:tc>
          <w:tcPr>
            <w:tcW w:type="dxa" w:w="23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汇总及type/hand/count/role/TTO表</w:t>
            </w:r>
          </w:p>
        </w:tc>
        <w:tc>
          <w:tcPr>
            <w:tcW w:type="dxa" w:w="1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不等于位置质量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首球好球率</w:t>
            </w:r>
          </w:p>
        </w:tc>
        <w:tc>
          <w:tcPr>
            <w:tcW w:type="dxa" w:w="2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149 / 288；排除五类坏球结果</w:t>
            </w:r>
          </w:p>
        </w:tc>
        <w:tc>
          <w:tcPr>
            <w:tcW w:type="dxa" w:w="1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pitch_number、description</w:t>
            </w:r>
          </w:p>
        </w:tc>
        <w:tc>
          <w:tcPr>
            <w:tcW w:type="dxa" w:w="23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汇总及role表</w:t>
            </w:r>
          </w:p>
        </w:tc>
        <w:tc>
          <w:tcPr>
            <w:tcW w:type="dxa" w:w="1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只看第一球，不等于首球进区率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Whiff%</w:t>
            </w:r>
          </w:p>
        </w:tc>
        <w:tc>
          <w:tcPr>
            <w:tcW w:type="dxa" w:w="2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175次挥空 / 542次挥棒</w:t>
            </w:r>
          </w:p>
        </w:tc>
        <w:tc>
          <w:tcPr>
            <w:tcW w:type="dxa" w:w="1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description</w:t>
            </w:r>
          </w:p>
        </w:tc>
        <w:tc>
          <w:tcPr>
            <w:tcW w:type="dxa" w:w="23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汇总及type/hand/role表</w:t>
            </w:r>
          </w:p>
        </w:tc>
        <w:tc>
          <w:tcPr>
            <w:tcW w:type="dxa" w:w="1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必须报告挥棒分母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Chase%</w:t>
            </w:r>
          </w:p>
        </w:tc>
        <w:tc>
          <w:tcPr>
            <w:tcW w:type="dxa" w:w="2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190次区外挥棒 / 699个区外球</w:t>
            </w:r>
          </w:p>
        </w:tc>
        <w:tc>
          <w:tcPr>
            <w:tcW w:type="dxa" w:w="1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zone、description</w:t>
            </w:r>
          </w:p>
        </w:tc>
        <w:tc>
          <w:tcPr>
            <w:tcW w:type="dxa" w:w="23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汇总及hand/role表</w:t>
            </w:r>
          </w:p>
        </w:tc>
        <w:tc>
          <w:tcPr>
            <w:tcW w:type="dxa" w:w="1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受位置和球种混合影响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Usage%</w:t>
            </w:r>
          </w:p>
        </w:tc>
        <w:tc>
          <w:tcPr>
            <w:tcW w:type="dxa" w:w="2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某球种球数 / 1,240</w:t>
            </w:r>
          </w:p>
        </w:tc>
        <w:tc>
          <w:tcPr>
            <w:tcW w:type="dxa" w:w="1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pitch_type</w:t>
            </w:r>
          </w:p>
        </w:tc>
        <w:tc>
          <w:tcPr>
            <w:tcW w:type="dxa" w:w="23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mlb_pitch_type_summary.csv</w:t>
            </w:r>
          </w:p>
        </w:tc>
        <w:tc>
          <w:tcPr>
            <w:tcW w:type="dxa" w:w="1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低频球种不稳定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官方RV</w:t>
            </w:r>
          </w:p>
        </w:tc>
        <w:tc>
          <w:tcPr>
            <w:tcW w:type="dxa" w:w="2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Savant Pitch Arsenal公布值</w:t>
            </w:r>
          </w:p>
        </w:tc>
        <w:tc>
          <w:tcPr>
            <w:tcW w:type="dxa" w:w="1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run_value</w:t>
            </w:r>
          </w:p>
        </w:tc>
        <w:tc>
          <w:tcPr>
            <w:tcW w:type="dxa" w:w="23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mlb_pitch_type_summary.csv</w:t>
            </w:r>
          </w:p>
        </w:tc>
        <w:tc>
          <w:tcPr>
            <w:tcW w:type="dxa" w:w="1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只在MLB官方口径内解释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重算RV/100</w:t>
            </w:r>
          </w:p>
        </w:tc>
        <w:tc>
          <w:tcPr>
            <w:tcW w:type="dxa" w:w="2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Σdelta_pitcher_run_exp / 球数 ×100</w:t>
            </w:r>
          </w:p>
        </w:tc>
        <w:tc>
          <w:tcPr>
            <w:tcW w:type="dxa" w:w="1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Statcast逐球</w:t>
            </w:r>
          </w:p>
        </w:tc>
        <w:tc>
          <w:tcPr>
            <w:tcW w:type="dxa" w:w="23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type/hand/count/TTO表</w:t>
            </w:r>
          </w:p>
        </w:tc>
        <w:tc>
          <w:tcPr>
            <w:tcW w:type="dxa" w:w="1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正值对投手有利；不可与NPB xPV直减</w:t>
            </w:r>
          </w:p>
        </w:tc>
      </w:tr>
      <w:tr>
        <w:trPr>
          <w:cantSplit/>
        </w:trPr>
        <w:tc>
          <w:tcPr>
            <w:tcW w:type="dxa" w:w="112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Wilson 95%区间</w:t>
            </w:r>
          </w:p>
        </w:tc>
        <w:tc>
          <w:tcPr>
            <w:tcW w:type="dxa" w:w="225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二项比例区间</w:t>
            </w:r>
          </w:p>
        </w:tc>
        <w:tc>
          <w:tcPr>
            <w:tcW w:type="dxa" w:w="16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Zone、首球、Whiff、Chase</w:t>
            </w:r>
          </w:p>
        </w:tc>
        <w:tc>
          <w:tcPr>
            <w:tcW w:type="dxa" w:w="236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mlb_process_metrics_by_role.csv</w:t>
            </w:r>
          </w:p>
        </w:tc>
        <w:tc>
          <w:tcPr>
            <w:tcW w:type="dxa" w:w="1805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9"/>
              </w:rPr>
              <w:t>小样本区间较宽</w:t>
            </w:r>
          </w:p>
        </w:tc>
      </w:tr>
    </w:tbl>
    <w:p>
      <w:pPr>
        <w:spacing w:after="0" w:line="72" w:lineRule="auto"/>
        <w:ind w:firstLine="0"/>
      </w:pP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首球好球包括called strike、swinging strike、foul和in play等结果；排除ball、blocked ball、hit by pitch、automatic ball与pitchout。分组规则另行固定：先按StatsAPI逐场记录判断角色，当场gamesStarted==1记为先发，其余出场记为牛棚；打者侧别使用Statcast stand；球数使用balls和strikes；面对打线轮次先筛选先发场次，再直接按n_thruorder_pitcher分组。轮次和角色比较都是描述性结果。</w:t>
      </w:r>
    </w:p>
    <w:p>
      <w:pPr>
        <w:pStyle w:val="Heading1"/>
      </w:pPr>
      <w:r>
        <w:t>五、输出文件索引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总览：data/processed/analysis_summary.json、mlb_game_log_2026.csv。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球种与分层：mlb_pitch_type_summary.csv、mlb_pitch_metrics_by_batter_hand.csv、mlb_pitch_metrics_by_count.csv。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角色与轮次：mlb_process_metrics_by_role.csv、mlb_times_through_order.csv。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跨联盟：npb_2025_vs_mlb_2026_outcomes.csv、npb_2025_vs_mlb_2026_pitch_mix.csv及四份npb_*处理表。</w:t>
      </w:r>
    </w:p>
    <w:p>
      <w:pPr>
        <w:pStyle w:val="ListBullet"/>
        <w:spacing w:before="0" w:after="30" w:line="288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对账：qa/data_reconciliation.csv；完整来源URL：docs/research/source_register.md。</w:t>
      </w:r>
    </w:p>
    <w:p>
      <w:pPr>
        <w:spacing w:line="312" w:lineRule="auto" w:after="0"/>
        <w:ind w:firstLine="44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2"/>
        </w:rPr>
        <w:t>任何新窗口都必须先更新来源清单和截止日，再重跑处理与报告。不能只替换Word中的赛季数字。</w:t>
      </w:r>
    </w:p>
    <w:sectPr w:rsidR="00FC693F" w:rsidRPr="0006063C" w:rsidSect="00034616">
      <w:footerReference w:type="default" r:id="rId9"/>
      <w:pgSz w:w="11906" w:h="16838"/>
      <w:pgMar w:top="1276" w:right="1332" w:bottom="1219" w:left="1332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before="0" w:after="0"/>
      <w:ind w:firstLine="440"/>
      <w:jc w:val="both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底稿02　数据来源与指标口径</dc:title>
  <dc:subject/>
  <dc:creator>杨炎新</dc:creator>
  <cp:keywords/>
  <dc:description>generated by python-docx</dc:description>
  <cp:lastModifiedBy>杨炎新</cp:lastModifiedBy>
  <cp:revision>1</cp:revision>
  <dcterms:created xsi:type="dcterms:W3CDTF">2026-08-21T18:11:52Z</dcterms:created>
  <dcterms:modified xsi:type="dcterms:W3CDTF">2026-08-21T18:11:52Z</dcterms:modified>
  <cp:category/>
  <dc:identifier/>
  <dc:language>zh-CN</dc:language>
  <cp:version>1.0</cp:version>
</cp:coreProperties>
</file>