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微软雅黑" w:cs="Arial"/>
          <w:b/>
          <w:color w:val="000000"/>
          <w:sz w:val="34"/>
        </w:rPr>
        <w:t>今井达也MLB调整方案：短期多局牛棚，达标后逐级重返先发</w:t>
      </w:r>
    </w:p>
    <w:p>
      <w:pPr>
        <w:spacing w:after="12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数据窗口：2026年3月29日至8月12日</w:t>
      </w:r>
    </w:p>
    <w:p>
      <w:pPr>
        <w:spacing w:after="16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杨炎新　3230102355</w:t>
      </w:r>
    </w:p>
    <w:p>
      <w:pPr>
        <w:spacing w:line="240" w:lineRule="auto" w:after="100" w:before="60"/>
        <w:ind w:firstLine="360" w:left="180" w:right="18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建议先保留3—4周多局牛棚，优先修复抢好球能力，并逐步恢复对左打的变速球。先至少积累60个打席，此后按滚动最近60个打席检查好球区率、首球好球率和保送率；全部达标后，再按45、60、75球增加负荷。现有证据不支持立即永久转为后援，也不足以凭两次牛棚登板认定问题已经解决。</w:t>
      </w:r>
    </w:p>
    <w:p>
      <w:pPr>
        <w:pStyle w:val="Heading1"/>
      </w:pPr>
      <w:r>
        <w:t>一、三个诊断事实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现有公开数据不支持整体球威衰退。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K%在不同联盟环境下均为27.8%，逐球Whiff%为32.3%，四缝线均速94.9 mph；主要异常集中在BB%由7.0%升至14.6%、Zone%为43.6%和首球好球率为51.7%。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球种调整要先解决左打。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滑球使用45.3%、Whiff 40.6%、官方Run Value +4（投手视角，正值有利），仍可作为终结球。按逐球重算，四缝线对右打RV/100为+1.47，对左打为-1.27，左打Whiff只有15.4%。调整重点应放在对左打的四缝线落点，并恢复变速球与四缝线的速度分层，而非全面削减直球。</w:t>
      </w:r>
    </w:p>
    <w:p>
      <w:pPr>
        <w:pStyle w:val="ListNumber"/>
        <w:spacing w:before="0" w:after="30" w:line="276" w:lineRule="auto"/>
        <w:ind w:left="425" w:hanging="198"/>
      </w:pPr>
      <w:r>
        <w:rPr>
          <w:rFonts w:ascii="Arial" w:hAnsi="Arial" w:eastAsia="微软雅黑" w:cs="Arial"/>
          <w:b/>
          <w:color w:val="000000"/>
          <w:sz w:val="18"/>
        </w:rPr>
        <w:t>变速球有历史基础，但MLB样本很小。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该球在NPB 2025使用12.7%、均速84.7 mph、Whiff 41.6%；到MLB后仅29球、使用2.3%、均速86.8 mph，与四缝线速度差由约10.1缩至8.0 mph。MLB的62.5% Whiff来自8次挥棒中的5次，不能据此判断该球已经有效。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Arial" w:hAnsi="Arial" w:eastAsia="微软雅黑" w:cs="Arial"/>
          <w:b w:val="0"/>
          <w:color w:val="000000"/>
          <w:sz w:val="18"/>
        </w:rPr>
        <w:t>图1  核心诊断指标；跨联盟价值指标不作同尺度比较</w:t>
      </w:r>
    </w:p>
    <w:p>
      <w:r>
        <w:br w:type="page"/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两次牛棚登板共89球、23个打席，Zone%、首球好球率和Whiff%分别为46.1%、73.9%和40.0%。方向积极，但样本小，且角色、日期、健康恢复和对手同时变化，只能把牛棚视为校准环境。</w:t>
      </w:r>
    </w:p>
    <w:p>
      <w:pPr>
        <w:pStyle w:val="Heading1"/>
      </w:pPr>
      <w:r>
        <w:t>二、执行安排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081"/>
        <w:gridCol w:w="1486"/>
        <w:gridCol w:w="1621"/>
        <w:gridCol w:w="3378"/>
        <w:gridCol w:w="2300"/>
      </w:tblGrid>
      <w:tr>
        <w:trPr>
          <w:tblHeader w:val="true"/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窗口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观察与动作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8"/>
              </w:rPr>
              <w:t>未达标处理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A 校准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投手教练、医疗组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3—4周；每次1—2局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医疗检查先行；可尝试固定热身与节奏；变速球速度差不再低于约8 mph，并尝试向9—10 mph恢复；使用率逐步到8%—12%，优先面对左打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有疼痛、疲劳或动作异常即停止加量；由球队复查握法、释放与健康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B 过程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投手教练、分析组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先积累≥60打席；此后滚动最近60打席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Zone≥46%；首球好球≥60%；BB≤10%；同时检查变速球位置、移动和接触质量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10%&lt;BB≤12%：维持；BB&gt;12%或Zone、首球持续未达：回A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C 负荷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45→60→75球；每阶至少两次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对比前后半段进区、球速与球种执行；过程门槛继续成立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任一门槛未达：暂停；BB&gt;12%或控球持续未达：回A；仅当前负荷下执行、球速或健康恶化：退一阶</w:t>
            </w:r>
          </w:p>
        </w:tc>
      </w:tr>
      <w:tr>
        <w:trPr>
          <w:cantSplit/>
        </w:trPr>
        <w:tc>
          <w:tcPr>
            <w:tcW w:type="dxa" w:w="1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D 角色</w:t>
            </w:r>
          </w:p>
        </w:tc>
        <w:tc>
          <w:tcPr>
            <w:tcW w:type="dxa" w:w="14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教练组、管理层</w:t>
            </w:r>
          </w:p>
        </w:tc>
        <w:tc>
          <w:tcPr>
            <w:tcW w:type="dxa" w:w="16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完成60—75球阶段后评估</w:t>
            </w:r>
          </w:p>
        </w:tc>
        <w:tc>
          <w:tcPr>
            <w:tcW w:type="dxa" w:w="33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健康且过程稳定则回传统先发；若仅第三轮反复失效，评估一轮打线左右或四至五局短先发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 w:eastAsia="微软雅黑" w:cs="Arial"/>
                <w:b w:val="0"/>
                <w:color w:val="000000"/>
                <w:sz w:val="18"/>
              </w:rPr>
              <w:t>不以单场ERA或一次高光改变长期角色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以上阈值是便于执行和复盘的暂定管理规则，并非从23个牛棚打席估出的能力真值。公开数据未覆盖动作、握法与医疗信息，医疗判断始终先于统计阈值。</w:t>
      </w:r>
    </w:p>
    <w:p>
      <w:pPr>
        <w:pStyle w:val="Heading1"/>
      </w:pPr>
      <w:r>
        <w:t>三、每次复盘只看四组问题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抢好球：Zone%、首球好球率和BB%是否同步改善。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变速球：速度差、落点、移动和接触质量是否在增加使用率时保持稳定。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负荷：球数增加后，四缝线球速与进区率是否在后半段下降。</w:t>
      </w:r>
    </w:p>
    <w:p>
      <w:pPr>
        <w:pStyle w:val="ListBullet"/>
        <w:spacing w:before="0" w:after="30" w:line="276" w:lineRule="auto"/>
        <w:ind w:left="425" w:hanging="198"/>
      </w:pPr>
      <w:r>
        <w:rPr>
          <w:rFonts w:ascii="Arial" w:hAnsi="Arial" w:eastAsia="微软雅黑" w:cs="Arial"/>
          <w:b w:val="0"/>
          <w:color w:val="000000"/>
          <w:sz w:val="18"/>
        </w:rPr>
        <w:t>样本：牛棚、变速球和第三轮样本是否已经足以改变当前判断。</w:t>
      </w:r>
    </w:p>
    <w:p>
      <w:pPr>
        <w:pStyle w:val="Heading1"/>
      </w:pPr>
      <w:r>
        <w:t>四、结论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 w:val="0"/>
          <w:color w:val="000000"/>
          <w:sz w:val="18"/>
        </w:rPr>
        <w:t>现有数据支持“短期校准、达标后逐级回归”。若过程指标未改善，继续先发会增加球数和保送问题在长局数中再次暴露的风险；若指标在扩大样本后保持稳定，则没有必要因为两次牛棚表现就永久改变角色。</w:t>
      </w:r>
    </w:p>
    <w:p>
      <w:pPr>
        <w:spacing w:line="240" w:lineRule="auto" w:after="0"/>
        <w:ind w:firstLine="360"/>
        <w:jc w:val="both"/>
      </w:pPr>
      <w:r>
        <w:rPr>
          <w:rFonts w:ascii="Arial" w:hAnsi="Arial" w:eastAsia="微软雅黑" w:cs="Arial"/>
          <w:b/>
          <w:color w:val="000000"/>
          <w:sz w:val="18"/>
        </w:rPr>
        <w:t>来源与版本：</w:t>
      </w:r>
      <w:r>
        <w:rPr>
          <w:rFonts w:ascii="Arial" w:hAnsi="Arial" w:eastAsia="微软雅黑" w:cs="Arial"/>
          <w:b w:val="0"/>
          <w:color w:val="000000"/>
          <w:sz w:val="18"/>
        </w:rPr>
        <w:t xml:space="preserve"> MLB StatsAPI、Baseball Savant、NPB官方、NPB Basement及MLB.com背景报道。完整URL、快照、分母和代码见配套底稿；仓库为github.com/youth-flow/MLB-Analytics，分析版本为commit 9c8033d，核查结果见《底稿04　MLB复现与交付核查说明》。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微软雅黑" w:cs="Arial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before="0" w:after="0"/>
      <w:ind w:firstLine="360"/>
      <w:jc w:val="both"/>
    </w:pPr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今井达也MLB调整方案：短期多局牛棚，达标后逐级重返先发</dc:title>
  <dc:subject/>
  <dc:creator>杨炎新</dc:creator>
  <cp:keywords/>
  <dc:description>generated by python-docx</dc:description>
  <cp:lastModifiedBy>杨炎新</cp:lastModifiedBy>
  <cp:revision>1</cp:revision>
  <dcterms:created xsi:type="dcterms:W3CDTF">2026-08-21T18:11:51Z</dcterms:created>
  <dcterms:modified xsi:type="dcterms:W3CDTF">2026-08-21T18:11:51Z</dcterms:modified>
  <cp:category/>
  <dc:identifier/>
  <dc:language>zh-CN</dc:language>
  <cp:version>1.0</cp:version>
</cp:coreProperties>
</file>