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6"/>
        </w:rPr>
        <w:t>第2周实习记录</w:t>
      </w:r>
    </w:p>
    <w:tbl>
      <w:tblPr>
        <w:tblW w:type="dxa" w:w="901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669"/>
        <w:gridCol w:w="2670"/>
        <w:gridCol w:w="1669"/>
        <w:gridCol w:w="3006"/>
      </w:tblGrid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学生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杨炎新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学号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3230102355</w:t>
            </w:r>
          </w:p>
        </w:tc>
      </w:tr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实习单位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上海思搏动态智能科技有限公司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记录主题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第2周：数据治理与理论推导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一、阶段主要任务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周没有急着画图，而是先把数据整理到能够反复核对的状态。我把原始网页、JSON和CSV冻结为本地快照，记录来源地址、下载时间、文件大小和SHA-256，后续分析不覆盖这些文件；清洗结果另存到data/processed。这样即使动态网页以后更新，也能找到报告中每个数字对应的原始版本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整理时，我把数据分为比赛、打席和逐球三层。StatsAPI用于核对场次、先发或牛棚身份、局数、三振和保送；Statcast用于分析球种、位置、球数、挥棒与结果；Savant赛季表用于核对xERA和官方球种价值。不同来源中重复出现的字段，我保留下来作为交叉检查项目，由脚本自动比较差值。</w:t>
      </w:r>
    </w:p>
    <w:p>
      <w:pPr>
        <w:pStyle w:val="Heading1"/>
      </w:pPr>
      <w:r>
        <w:t>二、一次具体的数据清洗问题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原始逐球文件共有1,241行，其中1行是没有球种标签的自动坏球事件。最初汇总时，逐球总数因此比球种总数多1行。直接删除会使不同表的总投球数不一致，强行补写球种又没有证据。最后我保留原始1,241行，球种分析明确使用1,240个带标签投球；三振、保送和比赛数继续以官方日志为准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件事让我认识到，清洗不是把异常简单删掉，而是交代它影响哪些指标、不影响哪些指标。冻结版本中，1,240个带标签投球、80次三振、42次保送和17场比赛均与官方数据一致，四项差值为0。我也固定了百分比的分母：K%和BB%用打席，Whiff%用挥棒，Chase%用好球区外投球，首球好球率以每个打席的第一球为单位。</w:t>
      </w:r>
    </w:p>
    <w:p>
      <w:pPr>
        <w:pStyle w:val="Heading1"/>
      </w:pPr>
      <w:r>
        <w:t>三、初步计算与疑问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成清洗后，我做了第一轮汇总。结果中最值得继续追查的是：今井的K%仍然较高，Whiff%也不差，四缝线平均球速接近NPB时期，但BB%明显上升，ERA同时大幅恶化。这组结果让我暂时放下“球威下降”的解释，准备在下一周重点查看进区能力、首球选择和球种组织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跨联盟比较时，我也给自己加了一条限制。NPB和MLB在比赛用球、打者水平、球场环境和价值模型上均有差异，因此只比较球种结构和变化方向，不把两个联盟的价值数字直接放在同一尺度上计算高低。</w:t>
      </w:r>
    </w:p>
    <w:p>
      <w:pPr>
        <w:pStyle w:val="Heading1"/>
      </w:pPr>
      <w:r>
        <w:t>四、港科大暑研：从直觉到数学对象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暑研本周进入理论推导。我从带KL正则项的策略目标出发，把奖励模型的价值定义为：该奖励诱导出的策略，在目标奖励下能够取得多高的效用；随后再把reward regret写成它与最优可达策略之间的差。继续在参考策略附近作局部展开后，可以把regret理解为奖励误差在那些真正会影响策略更新的方向上的二次距离。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我卡得最久的是如何区分“两个奖励函数数值不同”和“这种差异是否真的影响策略”。两个reward即使在数值上相差较大，也可能诱导出接近的局部策略；反过来，NLL较小的reward仍可能把策略推向错误方向。我用三页手写推导整理了reward equivalence class、Fisher几何与局部regret的关系，其中曾采用G-SRM和L-SRM等早期表述，并据此继续比较全局与局部方案。</w:t>
      </w:r>
    </w:p>
    <w:p>
      <w:pPr>
        <w:pStyle w:val="Heading1"/>
      </w:pPr>
      <w:r>
        <w:t>五、阶段反思与下一步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周两项工作的内容不同，却都提醒了我同一件事：如果没有先确定分母、评价对象和核对方式，后面的结果很容易看起来完整，实际上却无法比较。以后开始分析或实验前，我会先写清输入、输出和检查标准，减少边运行边补解释的情况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MLB项目已经固定数据来源，记录异常，并完成主要指标与官方数据的核对。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港科项目完成reward utility、policy regret、奖励等价类和局部Fisher几何的主体推导。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下一周将按控球、球种、左右打和角色拆分棒球数据，同时在HPC4上测试数据生成、奖励训练和策略评价流程。</w:t>
      </w:r>
    </w:p>
    <w:sectPr w:rsidR="00FC693F" w:rsidRPr="0006063C" w:rsidSect="00034616">
      <w:footerReference w:type="default" r:id="rId9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1" w:lineRule="auto" w:before="0" w:after="0"/>
      <w:ind w:firstLine="460"/>
      <w:jc w:val="both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第2周实习记录</dc:title>
  <dc:subject/>
  <dc:creator>杨炎新</dc:creator>
  <cp:keywords/>
  <dc:description/>
  <cp:lastModifiedBy>杨炎新</cp:lastModifiedBy>
  <cp:revision>1</cp:revision>
  <dcterms:created xsi:type="dcterms:W3CDTF">2026-08-25T16:16:48Z</dcterms:created>
  <dcterms:modified xsi:type="dcterms:W3CDTF">2026-08-25T16:16:48Z</dcterms:modified>
  <cp:category/>
  <dc:identifier/>
  <dc:language>zh-CN</dc:language>
  <cp:version>1.0</cp:version>
</cp:coreProperties>
</file>