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第1周实习记录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第1周：选题与基础学习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1"/>
          <w:szCs w:val="21"/>
          <w:lang w:eastAsia="zh-CN"/>
          <w:i w:val="1"/>
        </w:rPr>
        <w:t>说明：以下内容按项目实际推进顺序整理，具体日期以会议材料和实验记录为准。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一、阶段工作概况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先阅读课程材料，并开始确定数据分析题目。我起初想直接比较今井达也在NPB和MLB的ERA、三振、保送等成绩，再根据差异提出调整建议。查完首批资料后，我发现这个思路太宽，最后很可能只得到“表现变差”这样的结论，既解释不了原因，也无法回答他应该继续先发还是转入牛棚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因此，我把题目收窄为一个具体的决策问题：</w:t>
      </w: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  <w:b w:val="1"/>
        </w:rPr>
        <w:t>今井达也目前的困难主要来自球威、控球、球种结构还是先发负荷，球队应依据什么条件让他重返先发轮值？</w:t>
      </w: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我把五个待检验判断写进研究假设记录：三振和挥空能力是否保留；保送增加是否与进区能力有关；四缝线和滑球是否过于集中；两次牛棚表现能否支持角色变化；第三球种在NPB时期是否已有稳定基础。此后每张表都对应一个待回答的问题，避免先出结果再寻找解释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二、资料搜集与口径设计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确定问题后，我先检查所需数据能否取得。MLB部分使用StatsAPI比赛日志和Baseball Savant逐球数据：前者用于核对比赛结果，后者提供球种、球数、位置和挥棒等细节。NPB部分使用官方球员页和NPB Basement，补充今井2018—2025年的职业轨迹与球种变化。新闻报道只用于了解转入牛棚和伤情背景，不作为数值依据。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整理指标时，我很快遇到一个问题：名称相同的指标，计算口径未必相同。逐球、打席和比赛日志属于不同分析层级，NPB的xPV/100也不能直接与MLB的Run Value/100作差。为避免后面混用，我先建立指标表，逐项记录分子、分母、数值方向和适用范围。ERA、K%和BB%用于描述结果；Zone%、首球好球率、Whiff%和Chase%用于观察过程；球种使用率和左右打拆分则用来支持具体的配球建议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三、港科大暑研进展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同期，我在香港科技大学IEDA系开展的大模型对齐暑研从RLHF和DPO基础入手。我先梳理“偏好数据—奖励模型—策略更新”的基本流程，再理解DPO为何能够绕开显式奖励模型。阅读中，我重点关注reward realizability和policy realizability，因为奖励模型即使能够较好拟合偏好标签，也未必能在受限策略类中带来最好的策略。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7月14日，我以《Preference Learning: RLHF &amp; DPO》为题参加组会汇报。准备过程中，我尝试把Smart Predict-then-Optimize的想法迁移到大模型对齐：预测误差较小，并不一定意味着下游决策损失也小，因此奖励模型不能只按偏好拟合效果评价。汇报后，我将研究问题进一步收窄为“在可实现的reward class中，哪一种奖励能够带来更高的policy utility”，这也成为Prospective Reward Modeling的出发点。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四、问题与调整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回头看，本周最大的失误是过早寻找结论。只看几项赛季数据，很容易先入为主地归因于“联盟强度提高”或“球威不足”。发现这一点后，我暂停结果比较，先写清研究对象、数据截止日、各指标分母，以及哪些证据会推翻原来的猜测。例如，只有K%和Whiff%同时明显下降时，才更支持球威整体退化；牛棚样本很少时，也不能把短期改善直接解释为角色转换的效果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本周没有急着制作大量图表，而是先把研究对象、五项假设、指标口径和来源框架定下来。回头检查时，我能明确说出什么证据支持判断、什么证据会推翻判断，这比过早给出结论更重要。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五、阶段产出与后续安排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确定研究问题，并列出五项待检验判断及其反证条件。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建立MLB、NPB公开数据来源框架和第一版指标字典。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完成RLHF、DPO与奖励错设问题的基础阅读，并进行第一次暑研汇报。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下一周重点冻结原始数据版本，核对逐球数据与官方比赛日志；暑研继续推导reward utility和policy regret。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  <cp:comments/>
</cp:coreProperties>
</file>