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今井达也MLB调整建议</w:t>
      </w:r>
    </w:p>
    <w:p>
      <w:pPr>
        <w:ind w:firstLine="0"/>
        <w:jc w:val="center"/>
      </w:pPr>
      <w:r>
        <w:rPr>
          <w:rFonts w:ascii="微软雅黑" w:hAnsi="微软雅黑" w:eastAsia="微软雅黑"/>
          <w:b w:val="0"/>
          <w:color w:val="000000"/>
          <w:sz w:val="17"/>
        </w:rPr>
        <w:t>杨炎新  3230102355     数据窗口  2026年3月29日至8月12日</w:t>
      </w:r>
    </w:p>
    <w:p>
      <w:pPr>
        <w:jc w:val="both"/>
      </w:pPr>
      <w:r>
        <w:rPr>
          <w:rFonts w:ascii="微软雅黑" w:hAnsi="微软雅黑" w:eastAsia="微软雅黑"/>
          <w:b/>
          <w:color w:val="000000"/>
          <w:sz w:val="18"/>
        </w:rPr>
        <w:t>建议先安排3—4周多局牛棚校准，把进区、首球执行和减少保送作为主要任务。累计至少60个打席后，按最近60个打席检查三项门槛：进区率≥46%、首球好球率≥60%、保送率≤10%。三项同时达到且健康稳定，才进入45→60→75球的负荷阶梯。保留滑球主轴，优先检查对左打的四缝线落点，并小范围验证低速第三球种。现有两次牛棚、23个打席，尚不足以决定长期角色。</w:t>
      </w:r>
    </w:p>
    <w:p>
      <w:pPr>
        <w:pStyle w:val="Heading1"/>
      </w:pPr>
      <w:r>
        <w:t>为什么先改控球</w:t>
      </w:r>
    </w:p>
    <w:p>
      <w:pPr>
        <w:jc w:val="both"/>
      </w:pPr>
      <w:r>
        <w:rPr>
          <w:rFonts w:ascii="微软雅黑" w:hAnsi="微软雅黑" w:eastAsia="微软雅黑"/>
          <w:b w:val="0"/>
          <w:color w:val="000000"/>
          <w:sz w:val="18"/>
        </w:rPr>
        <w:t>冻结窗口共17场比赛，其中15次先发、2次牛棚，合计288个打席、1,240个带球种标签的投球。ERA为5.29，xERA为4.89；拆开过程指标后，调整的先后顺序更清楚。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3572"/>
        <w:gridCol w:w="4309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观察项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本窗口结果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对下一步的含义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三振与挥空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K% 27.8%；Whiff% 32.3%；四缝线均速94.9 mph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三振、挥空和球速未呈现同步下滑，不急于追求额外球速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球数控制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BB% 14.6%；进区率43.6%；首球好球率51.7%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42次保送是直接损失，先改善打席早期的执行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核心球种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滑球使用率45.3%、Whiff% 40.6%、官方Run Value +4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保留滑球主轴，围绕其建立可执行的配球方案</w:t>
            </w:r>
          </w:p>
        </w:tc>
      </w:tr>
    </w:tbl>
    <w:p>
      <w:pPr>
        <w:spacing w:after="0" w:line="6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jc w:val="both"/>
      </w:pPr>
      <w:r>
        <w:rPr>
          <w:rFonts w:ascii="微软雅黑" w:hAnsi="微软雅黑" w:eastAsia="微软雅黑"/>
          <w:b w:val="0"/>
          <w:color w:val="000000"/>
          <w:sz w:val="18"/>
        </w:rPr>
        <w:t>NPB 2025年的K%为27.8%、BB%为7.0%，四缝线均速同样约94.9 mph。这组历史参照支持优先核查控球，但联盟、打者和追踪口径不同，不能据此认定其他能力完全没有变化。进区率也不等于落点质量；具体位置和动作调整仍需教练结合投球意图与球路数据判断。</w:t>
      </w:r>
    </w:p>
    <w:p>
      <w:pPr>
        <w:pStyle w:val="Heading1"/>
      </w:pPr>
      <w:r>
        <w:t>球种调整先针对左打</w:t>
      </w:r>
    </w:p>
    <w:p>
      <w:pPr>
        <w:jc w:val="both"/>
      </w:pPr>
      <w:r>
        <w:rPr>
          <w:rFonts w:ascii="微软雅黑" w:hAnsi="微软雅黑" w:eastAsia="微软雅黑"/>
          <w:b w:val="0"/>
          <w:color w:val="000000"/>
          <w:sz w:val="18"/>
        </w:rPr>
        <w:t>四缝线面对左打311球，挥空率为15.4%，投手视角RV/100为−1.27；面对右打229球，相应为27.0%和+1.47。两组挥空率的95%区间存在重叠，分组也没有控制球数、落点和对手。因此，优先核对对左打的落点与球种衔接，比全面削减四缝线更有依据。</w:t>
      </w:r>
    </w:p>
    <w:p>
      <w:pPr>
        <w:jc w:val="both"/>
      </w:pPr>
      <w:r>
        <w:rPr>
          <w:rFonts w:ascii="微软雅黑" w:hAnsi="微软雅黑" w:eastAsia="微软雅黑"/>
          <w:b w:val="0"/>
          <w:color w:val="000000"/>
          <w:sz w:val="18"/>
        </w:rPr>
        <w:t>低速第三球种值得重新验证。按公开数据标签，CH与FS合计使用率由NPB 2025的17.0%降至MLB的5.7%；其中CH与四缝线的均速差由约10.1缩至8.0 mph。跨联盟标签不能一一对应握法或球路，这只能说明公开记录中的低速非滑球层收缩。MLB的CH仅29球，其62.5%挥空率来自8次挥棒中的5次，尚不能证明质量稳定。建议在训练和可控打席中增加观察，逐次记录速度差、落点、移动与接触质量，再决定是否扩大使用。</w:t>
      </w:r>
    </w:p>
    <w:p>
      <w:pPr>
        <w:pStyle w:val="Heading1"/>
      </w:pPr>
      <w:r>
        <w:t>牛棚表现支持继续观察</w:t>
      </w:r>
    </w:p>
    <w:p>
      <w:pPr>
        <w:jc w:val="both"/>
      </w:pPr>
      <w:r>
        <w:rPr>
          <w:rFonts w:ascii="微软雅黑" w:hAnsi="微软雅黑" w:eastAsia="微软雅黑"/>
          <w:b w:val="0"/>
          <w:color w:val="000000"/>
          <w:sz w:val="18"/>
        </w:rPr>
        <w:t>两次牛棚的进区率、首球好球率和挥空率分别为46.1%、73.9%和40.0%，点估计方向积极，但只有23个打席。先发与牛棚各项过程比例的95%区间均有重叠，角色变化还伴随日期、健康和对手变化，不能把改善归因于牛棚身份。牛棚适合作为短期校准和收集新证据的环境；重返先发的时点，应由后续过程和负荷表现决定。</w:t>
      </w:r>
    </w:p>
    <w:p>
      <w:pPr>
        <w:pStyle w:val="Heading1"/>
        <w:pageBreakBefore/>
      </w:pPr>
      <w:r>
        <w:t>把建议落实到每次登板</w:t>
      </w:r>
    </w:p>
    <w:p>
      <w:pPr>
        <w:jc w:val="both"/>
      </w:pPr>
      <w:r>
        <w:rPr>
          <w:rFonts w:ascii="微软雅黑" w:hAnsi="微软雅黑" w:eastAsia="微软雅黑"/>
          <w:b w:val="0"/>
          <w:color w:val="000000"/>
          <w:sz w:val="18"/>
        </w:rPr>
        <w:t>以下安排自球队决定采用方案时启动；3—4周指初始校准期，达到时间或样本要求均不代表自动升级。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91"/>
        <w:gridCol w:w="3061"/>
        <w:gridCol w:w="5159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执行安排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EEEEE"/>
          </w:tcPr>
          <w:p>
            <w:pPr>
              <w:keepNext/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18"/>
              </w:rPr>
              <w:t>进入下一阶段的条件及未达标处理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A　校准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健康检查通过后，安排3—4周多局牛棚，每次1—2局。教练确定动作、握法与热身安排，分析组记录过程指标。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先完成至少60个打席，建立滚动观察窗口。出现疼痛、异常疲劳或动作异常，停止加量并交由医疗组复查。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B　过程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每次复盘计算最近60个打席的进区率、首球好球率和保送率，同时检查对左打的第三球种方案。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同一窗口内进区率≥46%、首球好球率≥60%、保送率≤10%，且健康稳定，才可升级。任一项未达，留在B；保送率&gt;12%，或进区率与首球好球率同时未达，回A。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C　负荷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按45→60→75球递增，每级至少两次；持续使用滚动60打席门槛，比较前后半段球速、进区和球种执行。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条件未满足，停在当前负荷；仅随负荷增加出现球速或执行恶化，退一级；控球触发B阶段退回条件，回A。健康异常时停止加量、先复查。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center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D　角色</w:t>
            </w:r>
          </w:p>
        </w:tc>
        <w:tc>
          <w:tcPr>
            <w:tcW w:type="dxa" w:w="30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完成75球阶段，且各级至少两次后，由教练组与管理层评估。</w:t>
            </w:r>
          </w:p>
        </w:tc>
        <w:tc>
          <w:tcPr>
            <w:tcW w:type="dxa" w:w="515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after="0" w:line="276" w:lineRule="auto"/>
              <w:ind w:firstLine="0"/>
              <w:jc w:val="left"/>
            </w:pPr>
            <w:r>
              <w:rPr>
                <w:rFonts w:ascii="微软雅黑" w:hAnsi="微软雅黑" w:eastAsia="微软雅黑"/>
                <w:b w:val="0"/>
                <w:color w:val="000000"/>
                <w:sz w:val="18"/>
              </w:rPr>
              <w:t>健康和过程持续稳定，可恢复传统先发；若扩大样本后前两轮稳定、第三轮反复失效，再评估面对打线1—2轮或四至五局短先发。</w:t>
            </w:r>
          </w:p>
        </w:tc>
      </w:tr>
    </w:tbl>
    <w:p>
      <w:pPr>
        <w:spacing w:after="0" w:line="60" w:lineRule="exact"/>
        <w:ind w:firstLine="0"/>
      </w:pPr>
      <w:r>
        <w:rPr>
          <w:rFonts w:ascii="Times New Roman" w:hAnsi="Times New Roman" w:eastAsia="宋体"/>
          <w:b w:val="0"/>
          <w:color w:val="000000"/>
          <w:sz w:val="6"/>
        </w:rPr>
      </w:r>
    </w:p>
    <w:p>
      <w:pPr>
        <w:jc w:val="both"/>
      </w:pPr>
      <w:r>
        <w:rPr>
          <w:rFonts w:ascii="微软雅黑" w:hAnsi="微软雅黑" w:eastAsia="微软雅黑"/>
          <w:b/>
          <w:color w:val="000000"/>
          <w:sz w:val="18"/>
        </w:rPr>
        <w:t>这些数字是本方案提出的管理门槛，用于统一复盘和控制试验节奏，并非已被验证的能力分界线。通过门槛意味着可以开展下一阶段试验，不代表先发能力已经恢复。医疗判断始终优先。</w:t>
      </w:r>
    </w:p>
    <w:p>
      <w:pPr>
        <w:jc w:val="both"/>
      </w:pPr>
      <w:r>
        <w:rPr>
          <w:rFonts w:ascii="微软雅黑" w:hAnsi="微软雅黑" w:eastAsia="微软雅黑"/>
          <w:b w:val="0"/>
          <w:color w:val="000000"/>
          <w:sz w:val="18"/>
        </w:rPr>
        <w:t>每次登板后，复盘应回答三个具体问题：三项控球指标是否一起改善；低速第三球种增加使用后，落点和接触质量是否保持；球数上升后，后半段的球速和执行是否下降。分析组更新记录，投手教练解释位置与球路，医疗组判断健康，教练组据此决定维持、升级或退回。</w:t>
      </w:r>
    </w:p>
    <w:p>
      <w:pPr>
        <w:jc w:val="both"/>
      </w:pPr>
      <w:r>
        <w:rPr>
          <w:rFonts w:ascii="微软雅黑" w:hAnsi="微软雅黑" w:eastAsia="微软雅黑"/>
          <w:b w:val="0"/>
          <w:color w:val="000000"/>
          <w:sz w:val="18"/>
        </w:rPr>
        <w:t>本阶段应争取的结果，是减少免费上垒、恢复球数主动，并检验这些改善能否承受更高负荷。短期ERA下降而过程指标未改善，不提前升级；过程稳定而单场失分波动，也不立即推翻方案。后续比赛超出本稿冻结窗口，须用相同口径重算后再更新判断。</w:t>
      </w:r>
    </w:p>
    <w:p>
      <w:pPr>
        <w:jc w:val="both"/>
      </w:pPr>
      <w:r>
        <w:rPr>
          <w:rFonts w:ascii="微软雅黑" w:hAnsi="微软雅黑" w:eastAsia="微软雅黑"/>
          <w:b/>
          <w:color w:val="000000"/>
          <w:sz w:val="18"/>
        </w:rPr>
        <w:t>数据来源：</w:t>
      </w:r>
      <w:r>
        <w:rPr>
          <w:rFonts w:ascii="微软雅黑" w:hAnsi="微软雅黑" w:eastAsia="微软雅黑"/>
          <w:b w:val="0"/>
          <w:color w:val="000000"/>
          <w:sz w:val="18"/>
        </w:rPr>
        <w:t xml:space="preserve"> MLB StatsAPI（比赛日志与角色）；Baseball Savant（Statcast逐球、Expected Statistics及Pitch Arsenal）；NPB官方球员页（传统统计）；NPB Basement（第三方高级指标与球种数据）。</w:t>
      </w:r>
    </w:p>
    <w:p>
      <w:pPr>
        <w:jc w:val="both"/>
      </w:pPr>
      <w:r>
        <w:rPr>
          <w:rFonts w:ascii="微软雅黑" w:hAnsi="微软雅黑" w:eastAsia="微软雅黑"/>
          <w:b/>
          <w:color w:val="000000"/>
          <w:sz w:val="18"/>
        </w:rPr>
        <w:t>核查入口：</w:t>
      </w:r>
      <w:r>
        <w:rPr>
          <w:rFonts w:ascii="微软雅黑" w:hAnsi="微软雅黑" w:eastAsia="微软雅黑"/>
          <w:b w:val="0"/>
          <w:color w:val="000000"/>
          <w:sz w:val="18"/>
        </w:rPr>
        <w:t xml:space="preserve"> github.com/youth-flow/MLB-Analytics。核心数值见data/processed/analysis_summary.json及同目录分组表；原始来源、下载时间和文件校验值见data/raw/source_manifest.csv；分析代码见scripts/。本稿沿用2026年8月12日冻结数据，后续备份提交未改变观察窗口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exact" w:line="280" w:after="100"/>
      <w:ind w:firstLine="0"/>
    </w:pPr>
    <w:rPr>
      <w:rFonts w:ascii="微软雅黑" w:hAnsi="微软雅黑" w:eastAsia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 w:line="276" w:lineRule="auto"/>
      <w:ind w:firstLine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 w:line="276" w:lineRule="auto"/>
      <w:ind w:firstLine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40" w:line="276" w:lineRule="auto" w:before="140"/>
      <w:ind w:firstLine="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今井达也MLB调整建议</dc:title>
  <dc:subject/>
  <dc:creator>杨炎新</dc:creator>
  <cp:keywords/>
  <dc:description/>
  <cp:lastModifiedBy>杨炎新</cp:lastModifiedBy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