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center"/>
      </w:pPr>
      <w:r>
        <w:rPr>
          <w:rFonts w:ascii="黑体" w:hAnsi="黑体" w:eastAsia="黑体" w:cs="黑体"/>
          <w:b/>
          <w:color w:val="000000"/>
          <w:sz w:val="36"/>
        </w:rPr>
        <w:t>今井达也应如何重返 MLB 先发轮值？</w:t>
      </w:r>
    </w:p>
    <w:p>
      <w:pPr>
        <w:pStyle w:val="Subtitle"/>
        <w:keepNext/>
        <w:jc w:val="center"/>
      </w:pPr>
      <w:r>
        <w:rPr>
          <w:rFonts w:ascii="黑体" w:hAnsi="黑体" w:eastAsia="黑体" w:cs="黑体"/>
          <w:b/>
          <w:color w:val="000000"/>
          <w:sz w:val="24"/>
        </w:rPr>
        <w:t>——基于控球、球种结构与角色试验的决策分析</w:t>
      </w:r>
    </w:p>
    <w:p>
      <w:pPr>
        <w:spacing w:after="60" w:line="240" w:lineRule="auto"/>
        <w:jc w:val="center"/>
      </w:pPr>
      <w:r>
        <w:rPr>
          <w:rFonts w:ascii="Microsoft YaHei" w:hAnsi="Microsoft YaHei" w:eastAsia="Microsoft YaHei" w:cs="Microsoft YaHei"/>
          <w:b w:val="0"/>
          <w:color w:val="000000"/>
          <w:sz w:val="18"/>
        </w:rPr>
        <w:t>公开版｜数据冻结日：2026-08-12</w:t>
      </w:r>
    </w:p>
    <w:p>
      <w:pPr>
        <w:widowControl/>
        <w:spacing w:after="40" w:line="264" w:lineRule="auto"/>
        <w:ind w:firstLine="0"/>
        <w:jc w:val="both"/>
      </w:pPr>
      <w:r>
        <w:rPr>
          <w:rFonts w:ascii="Microsoft YaHei" w:hAnsi="Microsoft YaHei" w:eastAsia="Microsoft YaHei" w:cs="Microsoft YaHei"/>
          <w:b/>
          <w:color w:val="000000"/>
          <w:sz w:val="18"/>
        </w:rPr>
        <w:t>结论先行：今井达也的问题不是球速或三振能力消失，而是保送率上升、抢首球好球能力下降、对左打四缝线效率偏低，以及 NPB 时期成熟变速球的使用与速度分层收窄。建议暂时保留多局牛棚作为校准环境，先恢复进区和首球执行，再重建对左打的变速球；只有在连续样本达到过程与负荷门槛后，才逐级返回先发。两次牛棚登板是积极信号，但不足以证明永久转任后援更优。</w:t>
      </w:r>
    </w:p>
    <w:p>
      <w:pPr>
        <w:pStyle w:val="Heading1"/>
      </w:pPr>
      <w:r>
        <w:rPr>
          <w:rFonts w:ascii="黑体" w:hAnsi="黑体" w:eastAsia="黑体" w:cs="黑体"/>
          <w:b/>
          <w:color w:val="000000"/>
          <w:sz w:val="25"/>
        </w:rPr>
        <w:t>一、先排除“球威不够”</w:t>
      </w:r>
    </w:p>
    <w:p>
      <w:pPr>
        <w:widowControl/>
        <w:spacing w:after="40" w:line="264" w:lineRule="auto"/>
        <w:ind w:firstLine="360"/>
        <w:jc w:val="both"/>
      </w:pPr>
      <w:r>
        <w:rPr>
          <w:rFonts w:ascii="Microsoft YaHei" w:hAnsi="Microsoft YaHei" w:eastAsia="Microsoft YaHei" w:cs="Microsoft YaHei"/>
          <w:b w:val="0"/>
          <w:color w:val="000000"/>
          <w:sz w:val="18"/>
        </w:rPr>
        <w:t>截至 8 月 12 日，今井在 MLB 出赛 17 场（15 场先发），完成 194 个出局数，面对 288 个打席，80 次三振、42 次保送，ERA 5.29、xERA 4.89。K%=80/288=27.8%，与 NPB 2025 的 27.8%相同；BB%=42/288=14.6%，却是 NPB 2025 的 7.0%的两倍左右。逐球数据也指向同一问题：Zone%=541/1,240=43.6%，首球好球率=149/288=51.7%，均低于 Savant 同页 MLB 平均 48.7%和 61.2%；Whiff%=175/542=32.3%，则高于平均 25.0%。因此，调整优先级应是以可控方式进入好球区，而不是继续追求更高球速或更多挥空。</w:t>
      </w:r>
    </w:p>
    <w:p>
      <w:pPr>
        <w:pStyle w:val="Heading1"/>
      </w:pPr>
      <w:r>
        <w:rPr>
          <w:rFonts w:ascii="黑体" w:hAnsi="黑体" w:eastAsia="黑体" w:cs="黑体"/>
          <w:b/>
          <w:color w:val="000000"/>
          <w:sz w:val="25"/>
        </w:rPr>
        <w:t>二、缺的不是新球种，而是原有变速球</w:t>
      </w:r>
    </w:p>
    <w:p>
      <w:pPr>
        <w:widowControl/>
        <w:spacing w:after="40" w:line="264" w:lineRule="auto"/>
        <w:ind w:firstLine="360"/>
        <w:jc w:val="both"/>
      </w:pPr>
      <w:r>
        <w:rPr>
          <w:rFonts w:ascii="Microsoft YaHei" w:hAnsi="Microsoft YaHei" w:eastAsia="Microsoft YaHei" w:cs="Microsoft YaHei"/>
          <w:b w:val="0"/>
          <w:color w:val="000000"/>
          <w:sz w:val="18"/>
        </w:rPr>
        <w:t>MLB 中滑球 562 球、四缝线 540 球，合计占 88.9%。滑球仍是核心武器：使用率 45.3%、Whiff 40.6%、官方 Run Value +4、xwOBA .274。四缝线整体接近中性，但分侧结果不同：对左打 311 球，Whiff 15.4%、RV/100 -1.27；对右打 229 球，Whiff 27.0%、RV/100 +1.47。真正值得恢复的是变速球：NPB 2025 使用率 12.7%、Whiff 41.6%、xPV/100 +1.03；到 MLB 后只投 29 球，占 2.3%。其均速由 84.73 mph 升至 86.84 mph，而四缝线仍约 94.86 mph，速度差从 10.14 mph 缩至 8.01 mph。由于 MLB 样本只有 29 球，不能用当下结果直接判定好坏；训练目标应是恢复 2025 年已有证据的形态、出手隧道和速度分层。</w:t>
      </w:r>
    </w:p>
    <w:p>
      <w:pPr>
        <w:keepNext/>
        <w:spacing w:before="40" w:after="0"/>
        <w:jc w:val="center"/>
      </w:pPr>
      <w:r>
        <w:drawing>
          <wp:inline xmlns:a="http://schemas.openxmlformats.org/drawingml/2006/main" xmlns:pic="http://schemas.openxmlformats.org/drawingml/2006/picture">
            <wp:extent cx="5580000" cy="3224000"/>
            <wp:docPr id="1" name="Picture 1"/>
            <wp:cNvGraphicFramePr>
              <a:graphicFrameLocks noChangeAspect="1"/>
            </wp:cNvGraphicFramePr>
            <a:graphic>
              <a:graphicData uri="http://schemas.openxmlformats.org/drawingml/2006/picture">
                <pic:pic>
                  <pic:nvPicPr>
                    <pic:cNvPr id="0" name="figure_1_core_diagnosis.png"/>
                    <pic:cNvPicPr/>
                  </pic:nvPicPr>
                  <pic:blipFill>
                    <a:blip r:embed="rId11"/>
                    <a:stretch>
                      <a:fillRect/>
                    </a:stretch>
                  </pic:blipFill>
                  <pic:spPr>
                    <a:xfrm>
                      <a:off x="0" y="0"/>
                      <a:ext cx="5580000" cy="3224000"/>
                    </a:xfrm>
                    <a:prstGeom prst="rect"/>
                  </pic:spPr>
                </pic:pic>
              </a:graphicData>
            </a:graphic>
          </wp:inline>
        </w:drawing>
      </w:r>
    </w:p>
    <w:p>
      <w:pPr>
        <w:pStyle w:val="Caption"/>
        <w:jc w:val="center"/>
      </w:pPr>
      <w:r>
        <w:rPr>
          <w:rFonts w:ascii="Microsoft YaHei" w:hAnsi="Microsoft YaHei" w:eastAsia="Microsoft YaHei" w:cs="Microsoft YaHei"/>
          <w:b w:val="0"/>
          <w:color w:val="000000"/>
          <w:sz w:val="18"/>
        </w:rPr>
        <w:t>图1  NPB 2025与MLB 2026核心诊断。跨联盟球种价值仅比较方向。</w:t>
      </w:r>
    </w:p>
    <w:p>
      <w:r>
        <w:br w:type="page"/>
      </w:r>
    </w:p>
    <w:p>
      <w:pPr>
        <w:pStyle w:val="Heading1"/>
      </w:pPr>
      <w:r>
        <w:rPr>
          <w:rFonts w:ascii="黑体" w:hAnsi="黑体" w:eastAsia="黑体" w:cs="黑体"/>
          <w:b/>
          <w:color w:val="000000"/>
          <w:sz w:val="25"/>
        </w:rPr>
        <w:t>三、牛棚改善应如何解释</w:t>
      </w:r>
    </w:p>
    <w:p>
      <w:pPr>
        <w:widowControl/>
        <w:spacing w:after="40" w:line="264" w:lineRule="auto"/>
        <w:ind w:firstLine="360"/>
        <w:jc w:val="both"/>
      </w:pPr>
      <w:r>
        <w:rPr>
          <w:rFonts w:ascii="Microsoft YaHei" w:hAnsi="Microsoft YaHei" w:eastAsia="Microsoft YaHei" w:cs="Microsoft YaHei"/>
          <w:b w:val="0"/>
          <w:color w:val="000000"/>
          <w:sz w:val="18"/>
        </w:rPr>
        <w:t>15 场先发共 1,151 球、265 个打席，Zone% 43.4%、首球好球率 49.8%、Whiff 31.6%；两次牛棚共 89 球、23 个打席，三项指标分别为 46.1%、73.9%和 40.0%。方向上确有改善，但首球好球率的 95% Wilson 区间仍为 53.5%—87.5%，牛棚样本很小；四缝线均速还从先发的 94.87 mph 略降至 94.72 mph。面对打线第三轮的 161 球也没有出现球速下滑。现有证据更支持“缩短任务有助于执行校准”，而不是“后援身份提升了球威”或“第三轮必然崩盘”。</w:t>
      </w:r>
    </w:p>
    <w:p>
      <w:pPr>
        <w:pStyle w:val="Heading1"/>
      </w:pPr>
      <w:r>
        <w:rPr>
          <w:rFonts w:ascii="黑体" w:hAnsi="黑体" w:eastAsia="黑体" w:cs="黑体"/>
          <w:b/>
          <w:color w:val="000000"/>
          <w:sz w:val="25"/>
        </w:rPr>
        <w:t>四、执行方案与返回先发门槛</w:t>
      </w:r>
    </w:p>
    <w:tbl>
      <w:tblPr>
        <w:tblW w:type="dxa" w:w="9638"/>
        <w:jc w:val="left"/>
        <w:tblLayout w:type="fixed"/>
        <w:tblLook w:firstColumn="1" w:firstRow="1" w:lastColumn="0" w:lastRow="0" w:noHBand="0" w:noVBand="1" w:val="04A0"/>
        <w:tblInd w:w="1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35"/>
        <w:gridCol w:w="4819"/>
        <w:gridCol w:w="3084"/>
      </w:tblGrid>
      <w:tr>
        <w:trPr>
          <w:cantSplit/>
          <w:tblHeader/>
        </w:trPr>
        <w:tc>
          <w:tcPr>
            <w:tcW w:type="dxa" w:w="1735"/>
            <w:vAlign w:val="center"/>
            <w:tcMar>
              <w:top w:w="60" w:type="dxa"/>
              <w:start w:w="100" w:type="dxa"/>
              <w:bottom w:w="60" w:type="dxa"/>
              <w:end w:w="100" w:type="dxa"/>
            </w:tcMar>
            <w:shd w:val="clear" w:color="auto" w:fill="D9D9D9"/>
          </w:tcPr>
          <w:p>
            <w:pPr>
              <w:spacing w:before="0" w:after="0" w:line="240" w:lineRule="auto"/>
              <w:jc w:val="left"/>
            </w:pPr>
            <w:r>
              <w:rPr>
                <w:rFonts w:ascii="Microsoft YaHei" w:hAnsi="Microsoft YaHei" w:eastAsia="Microsoft YaHei" w:cs="Microsoft YaHei"/>
                <w:b/>
                <w:color w:val="000000"/>
                <w:sz w:val="18"/>
              </w:rPr>
              <w:t>环节</w:t>
            </w:r>
          </w:p>
        </w:tc>
        <w:tc>
          <w:tcPr>
            <w:tcW w:type="dxa" w:w="4819"/>
            <w:vAlign w:val="center"/>
            <w:tcMar>
              <w:top w:w="60" w:type="dxa"/>
              <w:start w:w="100" w:type="dxa"/>
              <w:bottom w:w="60" w:type="dxa"/>
              <w:end w:w="100" w:type="dxa"/>
            </w:tcMar>
            <w:shd w:val="clear" w:color="auto" w:fill="D9D9D9"/>
          </w:tcPr>
          <w:p>
            <w:pPr>
              <w:spacing w:before="0" w:after="0" w:line="240" w:lineRule="auto"/>
              <w:jc w:val="left"/>
            </w:pPr>
            <w:r>
              <w:rPr>
                <w:rFonts w:ascii="Microsoft YaHei" w:hAnsi="Microsoft YaHei" w:eastAsia="Microsoft YaHei" w:cs="Microsoft YaHei"/>
                <w:b/>
                <w:color w:val="000000"/>
                <w:sz w:val="18"/>
              </w:rPr>
              <w:t>达标条件</w:t>
            </w:r>
          </w:p>
        </w:tc>
        <w:tc>
          <w:tcPr>
            <w:tcW w:type="dxa" w:w="3084"/>
            <w:vAlign w:val="center"/>
            <w:tcMar>
              <w:top w:w="60" w:type="dxa"/>
              <w:start w:w="100" w:type="dxa"/>
              <w:bottom w:w="60" w:type="dxa"/>
              <w:end w:w="100" w:type="dxa"/>
            </w:tcMar>
            <w:shd w:val="clear" w:color="auto" w:fill="D9D9D9"/>
          </w:tcPr>
          <w:p>
            <w:pPr>
              <w:spacing w:before="0" w:after="0" w:line="240" w:lineRule="auto"/>
              <w:jc w:val="left"/>
            </w:pPr>
            <w:r>
              <w:rPr>
                <w:rFonts w:ascii="Microsoft YaHei" w:hAnsi="Microsoft YaHei" w:eastAsia="Microsoft YaHei" w:cs="Microsoft YaHei"/>
                <w:b/>
                <w:color w:val="000000"/>
                <w:sz w:val="18"/>
              </w:rPr>
              <w:t>未达标时的处理</w:t>
            </w:r>
          </w:p>
        </w:tc>
      </w:tr>
      <w:tr>
        <w:trPr>
          <w:cantSplit/>
        </w:trPr>
        <w:tc>
          <w:tcPr>
            <w:tcW w:type="dxa" w:w="1735"/>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健康与动作</w:t>
            </w:r>
          </w:p>
        </w:tc>
        <w:tc>
          <w:tcPr>
            <w:tcW w:type="dxa" w:w="4819"/>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右臂疲劳不复发；固定热身、出手节奏和四缝线 glove-side 进区任务</w:t>
            </w:r>
          </w:p>
        </w:tc>
        <w:tc>
          <w:tcPr>
            <w:tcW w:type="dxa" w:w="3084"/>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暂停加量，先复核健康与动作</w:t>
            </w:r>
          </w:p>
        </w:tc>
      </w:tr>
      <w:tr>
        <w:trPr>
          <w:cantSplit/>
        </w:trPr>
        <w:tc>
          <w:tcPr>
            <w:tcW w:type="dxa" w:w="1735"/>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连续观察</w:t>
            </w:r>
          </w:p>
        </w:tc>
        <w:tc>
          <w:tcPr>
            <w:tcW w:type="dxa" w:w="4819"/>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至少 60 个打席；Zone%≥46%、首球好球率≥60%、BB%≤10%</w:t>
            </w:r>
          </w:p>
        </w:tc>
        <w:tc>
          <w:tcPr>
            <w:tcW w:type="dxa" w:w="3084"/>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保留 1—2 局多局牛棚，不进入负荷升级</w:t>
            </w:r>
          </w:p>
        </w:tc>
      </w:tr>
      <w:tr>
        <w:trPr>
          <w:cantSplit/>
        </w:trPr>
        <w:tc>
          <w:tcPr>
            <w:tcW w:type="dxa" w:w="1735"/>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变速球</w:t>
            </w:r>
          </w:p>
        </w:tc>
        <w:tc>
          <w:tcPr>
            <w:tcW w:type="dxa" w:w="4819"/>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使用率逐步至 8%—12%；速度差不低于约 8 mph，并向 9—10 mph 恢复；同步核对落点、移动和接触质量</w:t>
            </w:r>
          </w:p>
        </w:tc>
        <w:tc>
          <w:tcPr>
            <w:tcW w:type="dxa" w:w="3084"/>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调整握法与形态，不凭 29 球结果骤增用量</w:t>
            </w:r>
          </w:p>
        </w:tc>
      </w:tr>
      <w:tr>
        <w:trPr>
          <w:cantSplit/>
        </w:trPr>
        <w:tc>
          <w:tcPr>
            <w:tcW w:type="dxa" w:w="1735"/>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负荷阶梯</w:t>
            </w:r>
          </w:p>
        </w:tc>
        <w:tc>
          <w:tcPr>
            <w:tcW w:type="dxa" w:w="4819"/>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45→60→75 球，每阶至少两次；后半段进区率和四缝线球速稳定</w:t>
            </w:r>
          </w:p>
        </w:tc>
        <w:tc>
          <w:tcPr>
            <w:tcW w:type="dxa" w:w="3084"/>
            <w:vAlign w:val="center"/>
            <w:tcMar>
              <w:top w:w="60" w:type="dxa"/>
              <w:start w:w="100" w:type="dxa"/>
              <w:bottom w:w="60" w:type="dxa"/>
              <w:end w:w="100" w:type="dxa"/>
            </w:tcMar>
          </w:tcPr>
          <w:p>
            <w:pPr>
              <w:spacing w:before="0" w:after="0" w:line="240" w:lineRule="auto"/>
              <w:jc w:val="left"/>
            </w:pPr>
            <w:r>
              <w:rPr>
                <w:rFonts w:ascii="Microsoft YaHei" w:hAnsi="Microsoft YaHei" w:eastAsia="Microsoft YaHei" w:cs="Microsoft YaHei"/>
                <w:b w:val="0"/>
                <w:color w:val="000000"/>
                <w:sz w:val="18"/>
              </w:rPr>
              <w:t>BB%重新高于 12%、动作变差或疲劳复发即退回上一阶</w:t>
            </w:r>
          </w:p>
        </w:tc>
      </w:tr>
    </w:tbl>
    <w:p>
      <w:pPr>
        <w:spacing w:before="0" w:after="40"/>
      </w:pPr>
    </w:p>
    <w:p>
      <w:pPr>
        <w:widowControl/>
        <w:spacing w:after="40" w:line="264" w:lineRule="auto"/>
        <w:ind w:firstLine="0"/>
        <w:jc w:val="both"/>
      </w:pPr>
      <w:r>
        <w:rPr>
          <w:rFonts w:ascii="Microsoft YaHei" w:hAnsi="Microsoft YaHei" w:eastAsia="Microsoft YaHei" w:cs="Microsoft YaHei"/>
          <w:b/>
          <w:color w:val="000000"/>
          <w:sz w:val="18"/>
        </w:rPr>
        <w:t>最终判断：</w:t>
      </w:r>
      <w:r>
        <w:rPr>
          <w:rFonts w:ascii="Microsoft YaHei" w:hAnsi="Microsoft YaHei" w:eastAsia="Microsoft YaHei" w:cs="Microsoft YaHei"/>
          <w:b w:val="0"/>
          <w:color w:val="000000"/>
          <w:sz w:val="18"/>
        </w:rPr>
        <w:t xml:space="preserve"> 今井仍具备 MLB 先发所需的挥空上限。球队要修复的不是“天花板”，而是把高质量滑球、按侧别使用的四缝线和曾经成熟的变速球重新组织成稳定抢好球的方案；角色选择应由连续过程指标和负荷稳定性决定，而不是由两场牛棚 ERA 决定。</w:t>
      </w:r>
    </w:p>
    <w:p>
      <w:pPr>
        <w:widowControl/>
        <w:spacing w:after="40" w:line="240" w:lineRule="auto"/>
        <w:ind w:firstLine="0"/>
        <w:jc w:val="both"/>
      </w:pPr>
      <w:r>
        <w:rPr>
          <w:rFonts w:ascii="Microsoft YaHei" w:hAnsi="Microsoft YaHei" w:eastAsia="Microsoft YaHei" w:cs="Microsoft YaHei"/>
          <w:b w:val="0"/>
          <w:color w:val="000000"/>
          <w:sz w:val="18"/>
        </w:rPr>
        <w:t>数据来源：MLB StatsAPI；Baseball Savant Statcast、Expected Statistics、Pitch Arsenal；NPB 官方；NPB Basement；MLB.com（2026-05-31、2026-07-31）。跨联盟球种价值只比较方向，不作同尺度相减。完整计算、快照哈希、代码、假设变化与限制见配套分析底稿。</w:t>
      </w:r>
    </w:p>
    <w:sectPr w:rsidR="00FC693F" w:rsidRPr="0006063C" w:rsidSect="00034616">
      <w:headerReference w:type="default" r:id="rId9"/>
      <w:footerReference w:type="default" r:id="rId10"/>
      <w:pgSz w:w="11906" w:h="16838"/>
      <w:pgMar w:top="1077" w:right="1134" w:bottom="1077" w:left="1134" w:header="283"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Microsoft YaHei" w:hAnsi="Microsoft YaHei" w:eastAsia="Microsoft YaHei" w:cs="Microsoft YaHei"/>
        <w:b w:val="0"/>
        <w:color w:val="000000"/>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4" w:lineRule="auto"/>
    </w:pPr>
    <w:rPr>
      <w:rFonts w:ascii="Microsoft YaHei" w:hAnsi="Microsoft YaHei" w:eastAsia="Microsoft YaHei" w:cs="Microsoft YaHei"/>
      <w:b w:val="0"/>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40" w:lineRule="auto"/>
      <w:outlineLvl w:val="0"/>
    </w:pPr>
    <w:rPr>
      <w:rFonts w:asciiTheme="majorHAnsi" w:eastAsiaTheme="majorEastAsia" w:hAnsiTheme="majorHAnsi" w:cstheme="majorBidi" w:ascii="黑体" w:hAnsi="黑体" w:eastAsia="黑体" w:cs="黑体"/>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60" w:after="60" w:line="240" w:lineRule="auto"/>
      <w:outlineLvl w:val="1"/>
    </w:pPr>
    <w:rPr>
      <w:rFonts w:asciiTheme="majorHAnsi" w:eastAsiaTheme="majorEastAsia" w:hAnsiTheme="majorHAnsi" w:cstheme="majorBidi" w:ascii="黑体" w:hAnsi="黑体" w:eastAsia="黑体" w:cs="黑体"/>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黑体" w:hAnsi="黑体" w:eastAsia="黑体" w:cs="黑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黑体" w:hAnsi="黑体" w:eastAsia="黑体" w:cs="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line="240" w:lineRule="auto"/>
    </w:pPr>
    <w:rPr>
      <w:rFonts w:asciiTheme="majorHAnsi" w:eastAsiaTheme="majorEastAsia" w:hAnsiTheme="majorHAnsi" w:cstheme="majorBidi" w:ascii="黑体" w:hAnsi="黑体" w:eastAsia="黑体" w:cs="黑体"/>
      <w: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80"/>
    </w:pPr>
    <w:rPr>
      <w:rFonts w:ascii="Microsoft YaHei" w:hAnsi="Microsoft YaHei" w:eastAsia="Microsoft YaHei" w:cs="Microsoft YaHei"/>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今井达也应如何重返MLB先发轮值？</dc:title>
  <dc:subject>MLB数据分析课程公开正式文稿</dc:subject>
  <dc:creator>Anonymous</dc:creator>
  <cp:keywords>MLB, Statcast, pitching analysis</cp:keywords>
  <dc:description>Public version; personal identifiers removed.</dc:description>
  <cp:lastModifiedBy>Anonymous</cp:lastModifiedBy>
  <cp:revision>1</cp:revision>
  <dcterms:created xsi:type="dcterms:W3CDTF">2026-08-12T00:00:00Z</dcterms:created>
  <dcterms:modified xsi:type="dcterms:W3CDTF">2026-08-12T00:00:00Z</dcterms:modified>
  <cp:category>Public research report</cp:category>
  <dc:language>zh-CN</dc:language>
  <dc:identifier>MLB-Analytics-public</dc:identifier>
</cp:coreProperties>
</file>