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color w:val="auto"/>
          <w:sz w:val="72"/>
          <w:szCs w:val="72"/>
        </w:rPr>
      </w:pPr>
    </w:p>
    <w:p w14:paraId="63EAFD1A">
      <w:pPr>
        <w:spacing w:line="312" w:lineRule="auto"/>
        <w:jc w:val="center"/>
        <w:rPr>
          <w:color w:val="auto"/>
          <w:sz w:val="72"/>
          <w:szCs w:val="72"/>
        </w:rPr>
      </w:pPr>
    </w:p>
    <w:p w14:paraId="48FCCA9A">
      <w:pPr>
        <w:spacing w:line="312" w:lineRule="auto"/>
        <w:jc w:val="center"/>
        <w:rPr>
          <w:color w:val="auto"/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auto"/>
          <w:sz w:val="72"/>
          <w:szCs w:val="72"/>
        </w:rPr>
      </w:pPr>
      <w:r>
        <w:rPr>
          <w:rFonts w:hint="eastAsia" w:eastAsia="黑体"/>
          <w:b/>
          <w:bCs/>
          <w:i/>
          <w:color w:val="auto"/>
          <w:sz w:val="72"/>
          <w:szCs w:val="72"/>
          <w:lang w:val="en-US" w:eastAsia="zh-CN"/>
        </w:rPr>
        <w:t>物品检测入库</w:t>
      </w:r>
      <w:r>
        <w:rPr>
          <w:rFonts w:eastAsia="黑体"/>
          <w:b/>
          <w:bCs/>
          <w:i/>
          <w:color w:val="auto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color w:val="auto"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color w:val="auto"/>
          <w:sz w:val="48"/>
          <w:szCs w:val="48"/>
        </w:rPr>
      </w:pPr>
      <w:r>
        <w:rPr>
          <w:rFonts w:eastAsia="黑体"/>
          <w:b/>
          <w:bCs/>
          <w:color w:val="auto"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color w:val="auto"/>
          <w:sz w:val="48"/>
          <w:szCs w:val="48"/>
        </w:rPr>
      </w:pPr>
    </w:p>
    <w:p w14:paraId="6C70CF7A">
      <w:pPr>
        <w:spacing w:line="312" w:lineRule="auto"/>
        <w:jc w:val="center"/>
        <w:rPr>
          <w:color w:val="auto"/>
          <w:sz w:val="48"/>
          <w:szCs w:val="48"/>
        </w:rPr>
      </w:pPr>
    </w:p>
    <w:p w14:paraId="3ED461E6">
      <w:pPr>
        <w:spacing w:line="312" w:lineRule="auto"/>
        <w:jc w:val="center"/>
        <w:rPr>
          <w:color w:val="auto"/>
          <w:sz w:val="48"/>
          <w:szCs w:val="48"/>
        </w:rPr>
      </w:pPr>
    </w:p>
    <w:p w14:paraId="74BC81A7">
      <w:pPr>
        <w:spacing w:line="312" w:lineRule="auto"/>
        <w:jc w:val="center"/>
        <w:rPr>
          <w:color w:val="auto"/>
          <w:sz w:val="48"/>
          <w:szCs w:val="48"/>
        </w:rPr>
      </w:pPr>
    </w:p>
    <w:p w14:paraId="7EC6E058">
      <w:pPr>
        <w:spacing w:line="312" w:lineRule="auto"/>
        <w:jc w:val="center"/>
        <w:rPr>
          <w:color w:val="auto"/>
          <w:sz w:val="48"/>
          <w:szCs w:val="48"/>
        </w:rPr>
      </w:pPr>
    </w:p>
    <w:p w14:paraId="2E9999C3">
      <w:pPr>
        <w:spacing w:line="312" w:lineRule="auto"/>
        <w:jc w:val="center"/>
        <w:rPr>
          <w:color w:val="auto"/>
          <w:sz w:val="48"/>
          <w:szCs w:val="48"/>
        </w:rPr>
      </w:pPr>
    </w:p>
    <w:p w14:paraId="55ACA92D">
      <w:pPr>
        <w:spacing w:line="312" w:lineRule="auto"/>
        <w:jc w:val="center"/>
        <w:rPr>
          <w:color w:val="auto"/>
          <w:sz w:val="48"/>
          <w:szCs w:val="48"/>
        </w:rPr>
      </w:pPr>
    </w:p>
    <w:p w14:paraId="5BE30D4B">
      <w:pPr>
        <w:spacing w:line="312" w:lineRule="auto"/>
        <w:jc w:val="center"/>
        <w:rPr>
          <w:color w:val="auto"/>
          <w:sz w:val="48"/>
          <w:szCs w:val="48"/>
        </w:rPr>
      </w:pPr>
    </w:p>
    <w:p w14:paraId="3081F04E">
      <w:pPr>
        <w:spacing w:line="312" w:lineRule="auto"/>
        <w:rPr>
          <w:color w:val="auto"/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color w:val="auto"/>
                <w:sz w:val="21"/>
                <w:szCs w:val="21"/>
              </w:rPr>
            </w:pPr>
            <w:r>
              <w:rPr>
                <w:rFonts w:ascii="Times New Roman"/>
                <w:color w:val="auto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color w:val="auto"/>
                <w:sz w:val="21"/>
                <w:szCs w:val="21"/>
              </w:rPr>
            </w:pPr>
            <w:r>
              <w:rPr>
                <w:rFonts w:ascii="Times New Roman"/>
                <w:color w:val="auto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color w:val="auto"/>
                <w:sz w:val="21"/>
                <w:szCs w:val="21"/>
              </w:rPr>
            </w:pPr>
            <w:r>
              <w:rPr>
                <w:rFonts w:ascii="Times New Roman"/>
                <w:color w:val="auto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color w:val="auto"/>
                <w:sz w:val="21"/>
                <w:szCs w:val="21"/>
              </w:rPr>
            </w:pPr>
            <w:r>
              <w:rPr>
                <w:rFonts w:ascii="Times New Roman"/>
                <w:color w:val="auto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color w:val="auto"/>
                <w:szCs w:val="21"/>
              </w:rPr>
            </w:pPr>
            <w:r>
              <w:rPr>
                <w:color w:val="auto"/>
              </w:rPr>
              <w:t>2026年9月13日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color w:val="auto"/>
                <w:szCs w:val="21"/>
              </w:rPr>
            </w:pPr>
            <w:r>
              <w:rPr>
                <w:color w:val="auto"/>
              </w:rP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color w:val="auto"/>
                <w:szCs w:val="21"/>
              </w:rPr>
            </w:pPr>
            <w:r>
              <w:rPr>
                <w:color w:val="auto"/>
              </w:rPr>
              <w:t>YOLO11检测服务模块测试报告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鄢怡曼、陈语欣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color w:val="auto"/>
                <w:szCs w:val="21"/>
              </w:rPr>
            </w:pPr>
            <w:r>
              <w:rPr>
                <w:color w:val="auto"/>
              </w:rPr>
              <w:t>2026年9月1</w:t>
            </w:r>
            <w:r>
              <w:rPr>
                <w:rFonts w:hint="eastAsia"/>
                <w:color w:val="auto"/>
                <w:lang w:val="en-US" w:eastAsia="zh-CN"/>
              </w:rPr>
              <w:t>4</w:t>
            </w:r>
            <w:r>
              <w:rPr>
                <w:color w:val="auto"/>
              </w:rPr>
              <w:t>日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v1.1</w:t>
            </w:r>
          </w:p>
        </w:tc>
        <w:tc>
          <w:tcPr>
            <w:tcW w:w="3600" w:type="dxa"/>
            <w:shd w:val="clear"/>
            <w:vAlign w:val="center"/>
          </w:tcPr>
          <w:p w14:paraId="64EC03AF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color w:val="auto"/>
              </w:rPr>
              <w:t>YOLO11检测服务模块测试报告</w:t>
            </w:r>
          </w:p>
        </w:tc>
        <w:tc>
          <w:tcPr>
            <w:tcW w:w="1138" w:type="dxa"/>
            <w:shd w:val="clear"/>
            <w:vAlign w:val="center"/>
          </w:tcPr>
          <w:p w14:paraId="4D562A7D">
            <w:pPr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鄢怡曼、陈语欣</w:t>
            </w: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color w:val="auto"/>
                <w:szCs w:val="21"/>
              </w:rPr>
            </w:pPr>
          </w:p>
        </w:tc>
      </w:tr>
    </w:tbl>
    <w:p w14:paraId="0CEC06D9">
      <w:pPr>
        <w:pStyle w:val="8"/>
        <w:spacing w:line="312" w:lineRule="auto"/>
        <w:rPr>
          <w:b w:val="0"/>
          <w:bCs w:val="0"/>
          <w:caps w:val="0"/>
          <w:color w:val="auto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color w:val="auto"/>
          <w:sz w:val="28"/>
          <w:szCs w:val="28"/>
        </w:rPr>
      </w:pPr>
      <w:r>
        <w:rPr>
          <w:rFonts w:eastAsia="黑体"/>
          <w:b/>
          <w:color w:val="auto"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b w:val="0"/>
          <w:bCs w:val="0"/>
          <w:caps w:val="0"/>
          <w:color w:val="auto"/>
          <w:sz w:val="44"/>
        </w:rPr>
        <w:fldChar w:fldCharType="begin"/>
      </w:r>
      <w:r>
        <w:rPr>
          <w:b w:val="0"/>
          <w:bCs w:val="0"/>
          <w:caps w:val="0"/>
          <w:color w:val="auto"/>
          <w:sz w:val="44"/>
        </w:rPr>
        <w:instrText xml:space="preserve"> TOC \o "1-3" \h \z </w:instrText>
      </w:r>
      <w:r>
        <w:rPr>
          <w:b w:val="0"/>
          <w:bCs w:val="0"/>
          <w:caps w:val="0"/>
          <w:color w:val="auto"/>
          <w:sz w:val="44"/>
        </w:rPr>
        <w:fldChar w:fldCharType="separate"/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"_Toc239671766"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1 被测对象概述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_Toc239671766 \h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"_Toc239671767"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 测试计划与策略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_Toc239671767 \h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"_Toc239671768"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2.1 测试范围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_Toc239671768 \h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"_Toc239671769"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2.2 测试策略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_Toc239671769 \h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"_Toc239671770"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2.3 测试环境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_Toc239671770 \h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"_Toc239671771"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 测试用例设计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_Toc239671771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"_Toc239671772"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3.1 用例总览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_Toc239671772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"_Toc239671773"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3.2 典型用例分析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_Toc239671773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"_Toc239671774"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3.3 用例分布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_Toc239671774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"_Toc239671775"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4 自动化测试实现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_Toc239671775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"_Toc239671776"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4.1 测试框架与架构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_Toc239671776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"_Toc239671777"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4.2 关键实现说明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_Toc239671777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"_Toc239671778"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 执行结果与缺陷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_Toc239671778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"_Toc239671779"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5.1 执行结果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_Toc239671779 \h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"_Toc239671780"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5.2 缺陷摘要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_Toc239671780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"_Toc239671781"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5.3 典型缺陷根因分析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_Toc239671781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"_Toc239671782"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5.4 质量评估结论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_Toc239671782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"_Toc239671783" </w:instrText>
      </w:r>
      <w:r>
        <w:rPr>
          <w:color w:val="auto"/>
        </w:rPr>
        <w:fldChar w:fldCharType="separate"/>
      </w:r>
      <w:r>
        <w:rPr>
          <w:rStyle w:val="15"/>
          <w:color w:val="auto"/>
        </w:rPr>
        <w:t>6 小组成员贡献度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_Toc239671783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color w:val="auto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color w:val="auto"/>
          <w:sz w:val="4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color w:val="auto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0" w:name="_Toc239671766"/>
      <w:r>
        <w:rPr>
          <w:color w:val="auto"/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本测试报告针对YOLO11目标检测服务模块进行测试验证。被测系统名称：YOLO11目标检测服务。整体功能：该系统基于Flask框架提供RESTful API接口，接收base64编码的图片和ONNX模型路径参数，使用YOLO11深度学习模型进行目标检测，返回检测结果（包含边界框坐标、置信度分数、类别标签、中文名称及仓库分类）。架构概览：系统采用分层架构，包括Web服务层（Flask路由）、业务逻辑层（YOLO11类封装推理逻辑）、数据处理层（图像预处理/后处理/仓库分类）。核心依赖ONNX Runtime进行模型推理，OpenCV进行图像处理。本小组选择测试的关键模块：app.py（YOLO11检测服务主模块），约200行代码，包含YOLO11类（含__init__/preprocess/letterbox/postprocess/draw_detections/main六个核心方法）和Flask路由函数pole_detection()。该模块在系统中承担核心目标检测功能，是整個检测pipeline的关键环节。</w:t>
      </w:r>
    </w:p>
    <w:p w14:paraId="104F8C5D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" w:name="_Toc239671767"/>
      <w:r>
        <w:rPr>
          <w:color w:val="auto"/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2" w:name="_Toc239671768"/>
      <w:r>
        <w:rPr>
          <w:rFonts w:ascii="Times New Roman" w:hAnsi="Times New Roman"/>
          <w:color w:val="auto"/>
          <w:sz w:val="24"/>
          <w:szCs w:val="24"/>
        </w:rPr>
        <w:t>2.1 测试范围</w:t>
      </w:r>
      <w:bookmarkEnd w:id="2"/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C28AB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</w:rPr>
              <w:t>YOLO11检测服务app.py的/detection接口</w:t>
            </w:r>
            <w:r>
              <w:rPr>
                <w:rFonts w:hint="eastAsia"/>
                <w:color w:val="auto"/>
                <w:lang w:eastAsia="zh-CN"/>
              </w:rPr>
              <w:t>，包</w:t>
            </w:r>
            <w:r>
              <w:rPr>
                <w:color w:val="auto"/>
              </w:rPr>
              <w:t>含正常检测流程、参数校验、仓库分类映射、边界值处理、异常处理等全部功能路径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8A39F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</w:rPr>
              <w:t>模型训练与优化（依赖外部训练流程）；GPU加速推理（测试环境无GPU）；UI界面交互（纯API测试）；高并发压力测试（仅模拟5次连续请求）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</w:rPr>
              <w:t>模型训练属于开发阶段职责；GPU环境不在测试范围；UI非后端模块职责；压力测试需专门工具，优先级较低</w:t>
            </w:r>
          </w:p>
        </w:tc>
      </w:tr>
    </w:tbl>
    <w:p w14:paraId="4E71393C">
      <w:pPr>
        <w:ind w:firstLine="420" w:firstLineChars="200"/>
        <w:rPr>
          <w:i/>
          <w:color w:val="auto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3" w:name="_Toc239671769"/>
      <w:r>
        <w:rPr>
          <w:rFonts w:ascii="Times New Roman" w:hAnsi="Times New Roman"/>
          <w:color w:val="auto"/>
          <w:sz w:val="24"/>
          <w:szCs w:val="24"/>
        </w:rPr>
        <w:t>2.2 测试策略</w:t>
      </w:r>
      <w:bookmarkEnd w:id="3"/>
    </w:p>
    <w:p w14:paraId="282DCA16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针对不同测试项，本次测试采用以下测试方法：</w:t>
      </w:r>
    </w:p>
    <w:p w14:paraId="778D4EE5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（1）等价类划分法：针对/detection接口的输入参数（image_base64、model_path、conf_thres、iou_thres）划分有效等价类和无效等价类。有效等价类包括合法JSON请求、多目标检测、自定义阈值、仓库分类映射等场景；无效等价类包括缺少必填字段、空字符串、非法格式、无效图片数据等场景。共设计15条等价类测试用例。</w:t>
      </w:r>
    </w:p>
    <w:p w14:paraId="44F44B6B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（2）边界值分析法：针对数值型参数（conf_thres取值范围[0.0,1.0]、iou_thres取值范围[0.0,1.0]）以及图片尺寸（极小1x1像素、超大8000x8000）、边界框坐标（左上角0,0、右下角图片宽高）等设计边界值测试用例。共设计1</w:t>
      </w:r>
      <w:r>
        <w:rPr>
          <w:rFonts w:hint="eastAsia"/>
          <w:iCs/>
          <w:color w:val="auto"/>
          <w:lang w:val="en-US" w:eastAsia="zh-CN"/>
        </w:rPr>
        <w:t>3</w:t>
      </w:r>
      <w:r>
        <w:rPr>
          <w:iCs/>
          <w:color w:val="auto"/>
        </w:rPr>
        <w:t>条边界值测试用例。</w:t>
      </w:r>
    </w:p>
    <w:p w14:paraId="6F0A836F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（3）场景法：基于用户实际操作场景和业务流程序列设计测试用例，包括正常检测完整业务流程、多目标密集场景、连续请求模拟并发、不同类别混合检测、模型加载失败异常恢复、图片解码失败、参数类型错误、80个COCO类别完整性验证、中文映射验证、letterbox处理、日志唯一性验证等。共设计12条场景法测试用例。选择依据：等价类划分法能有效覆盖输入域的主要功能路径；边界值分析法针对数值参数的边界条件进行重点检验；场景法从用户视角模拟真实使用场景，发现集成问题和流程缺陷。三种方法互补，确保测试覆盖率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4" w:name="_Toc239671770"/>
      <w:r>
        <w:rPr>
          <w:rFonts w:ascii="Times New Roman" w:hAnsi="Times New Roman"/>
          <w:color w:val="auto"/>
          <w:sz w:val="24"/>
          <w:szCs w:val="24"/>
        </w:rPr>
        <w:t>2.3 测试环境</w:t>
      </w:r>
      <w:bookmarkEnd w:id="4"/>
    </w:p>
    <w:p w14:paraId="38C750EA">
      <w:pPr>
        <w:spacing w:line="312" w:lineRule="auto"/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硬件环境</w:t>
      </w:r>
    </w:p>
    <w:p w14:paraId="504D670F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操作系统：Windows 10/11 或 Linux</w:t>
      </w:r>
    </w:p>
    <w:p w14:paraId="11D01ED7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CPU：Intel Core i7或同等性能处理器</w:t>
      </w:r>
    </w:p>
    <w:p w14:paraId="7522F0D2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内存：16GB</w:t>
      </w:r>
    </w:p>
    <w:p w14:paraId="29F45217">
      <w:pPr>
        <w:spacing w:line="312" w:lineRule="auto"/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软件环境</w:t>
      </w:r>
    </w:p>
    <w:p w14:paraId="0D1564D2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操作系统：Windows</w:t>
      </w:r>
    </w:p>
    <w:p w14:paraId="48A72E07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开发框架：Python 3.11 + FastAPI</w:t>
      </w:r>
    </w:p>
    <w:p w14:paraId="2D536A4C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目标检测模型：YOLOv8（ultralytics）</w:t>
      </w:r>
    </w:p>
    <w:p w14:paraId="2FB655CC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测试工具：pytest + httpx</w:t>
      </w:r>
    </w:p>
    <w:p w14:paraId="4E19569B">
      <w:pPr>
        <w:spacing w:line="312" w:lineRule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网络环境：内网HTTP服务</w:t>
      </w:r>
    </w:p>
    <w:p w14:paraId="2E6F6A88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5" w:name="_Toc35958953"/>
      <w:bookmarkStart w:id="6" w:name="_Toc239671771"/>
      <w:r>
        <w:rPr>
          <w:color w:val="auto"/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7" w:name="_Toc239671772"/>
      <w:r>
        <w:rPr>
          <w:rFonts w:ascii="Times New Roman" w:hAnsi="Times New Roman"/>
          <w:color w:val="auto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已</w:t>
            </w:r>
            <w:r>
              <w:rPr>
                <w:rFonts w:hint="eastAsia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通过</w:t>
            </w: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</w:rPr>
              <w:t xml:space="preserve">15 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lang w:val="en-US" w:eastAsia="zh-CN"/>
              </w:rPr>
              <w:t>37.5</w:t>
            </w:r>
            <w:r>
              <w:rPr>
                <w:color w:val="auto"/>
              </w:rPr>
              <w:t>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lang w:val="en-US" w:eastAsia="zh-CN"/>
              </w:rPr>
              <w:t>15</w:t>
            </w:r>
            <w:r>
              <w:rPr>
                <w:color w:val="auto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37.5</w:t>
            </w:r>
            <w:r>
              <w:rPr>
                <w:color w:val="auto"/>
              </w:rPr>
              <w:t>%）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  <w:lang w:val="en-US" w:eastAsia="zh-CN"/>
              </w:rPr>
              <w:t>3</w:t>
            </w:r>
            <w:r>
              <w:rPr>
                <w:color w:val="auto"/>
              </w:rPr>
              <w:t xml:space="preserve"> 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lang w:val="en-US" w:eastAsia="zh-CN"/>
              </w:rPr>
              <w:t>32.5</w:t>
            </w:r>
            <w:r>
              <w:rPr>
                <w:color w:val="auto"/>
              </w:rPr>
              <w:t>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lang w:val="en-US" w:eastAsia="zh-CN"/>
              </w:rPr>
              <w:t>13</w:t>
            </w:r>
            <w:r>
              <w:rPr>
                <w:color w:val="auto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32.5</w:t>
            </w:r>
            <w:r>
              <w:rPr>
                <w:color w:val="auto"/>
              </w:rPr>
              <w:t>%）</w:t>
            </w:r>
          </w:p>
        </w:tc>
      </w:tr>
      <w:tr w14:paraId="3C5F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F661B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bookmarkStart w:id="8" w:name="_Toc239671773"/>
            <w:r>
              <w:rPr>
                <w:color w:val="auto"/>
                <w:kern w:val="0"/>
                <w:sz w:val="18"/>
                <w:szCs w:val="18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578AD">
            <w:pPr>
              <w:widowControl/>
              <w:spacing w:line="312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4C03E30">
            <w:pPr>
              <w:widowControl/>
              <w:spacing w:line="312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30</w:t>
            </w:r>
            <w:r>
              <w:rPr>
                <w:color w:val="auto"/>
              </w:rPr>
              <w:t>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32AFF">
            <w:pPr>
              <w:widowControl/>
              <w:spacing w:line="312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12</w:t>
            </w:r>
            <w:r>
              <w:rPr>
                <w:color w:val="auto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30</w:t>
            </w:r>
            <w:r>
              <w:rPr>
                <w:color w:val="auto"/>
              </w:rPr>
              <w:t>%）</w:t>
            </w:r>
          </w:p>
        </w:tc>
      </w:tr>
      <w:tr w14:paraId="610C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19BA1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D78F3">
            <w:pPr>
              <w:widowControl/>
              <w:spacing w:line="312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5D35BCE">
            <w:pPr>
              <w:widowControl/>
              <w:spacing w:line="312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C0CD9">
            <w:pPr>
              <w:widowControl/>
              <w:spacing w:line="312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39（100%）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3.2 典型用例分析</w:t>
      </w:r>
      <w:bookmarkEnd w:id="8"/>
    </w:p>
    <w:p w14:paraId="284AE9D9">
      <w:pPr>
        <w:spacing w:line="312" w:lineRule="auto"/>
        <w:rPr>
          <w:iCs/>
          <w:color w:val="auto"/>
        </w:rPr>
      </w:pPr>
      <w:r>
        <w:rPr>
          <w:iCs/>
          <w:color w:val="auto"/>
        </w:rPr>
        <w:t>选取以下6个代表性测试用例进行详细分析：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【TC-EQ-001】合法JSON请求正常返回检测结果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测试方法：等价类划分-有效等价类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输入：image_base64=有效base64编码图片数据，model_path=saved_models/yolo11.onnx，Content-Type=application/json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操作步骤：创建Flask测试客户端，发送POST请求到/detection端点，携带有效JSON数据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预期输出：返回code=0000，msg=success，result包含检测结果（rec_base64/rec_label/rec_score等）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设计依据：覆盖API接口的核心正常流程，是最基本的功能验证用例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【TC-EQ-005】食品类目标正确映射到食品仓库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测试方法：等价类划分-有效等价类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输入：调用get_product_label("banana")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预期输出：返回"食品仓库"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设计依据：验证仓库分类映射功能的核心逻辑正确性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【TC-BV-001】conf_thres设为下边界0.0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测试方法：边界值分析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输入：conf_thres=0.0（置信度阈值下边界）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预期输出：服务正常处理，不崩溃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设计依据：检验置信度阈值取最小合法值时的边界处理能力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【TC-BV-003】conf_thres设为低于下边界-0.1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测试方法：边界值分析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输入：conf_thres=-0.1（低于合法范围下界）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预期输出：返回适当错误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设计依据：检验非法边界值的处理能力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【TC-SC-001】正常检测完整业务流程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测试方法：场景法-基本流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输入：完整JSON请求（图片+模型路径+阈值参数）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预期输出：全流程无异常，返回完整检测结果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设计依据：模拟用户完整使用流程，验证端到端功能完整性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【TC-SC-008】80个COCO类别仓库分类完整性验证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测试方法：场景法-覆盖验证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输入：遍历CLASS_NAMES中全部80个类别名称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预期输出：所有类别均映射到</w:t>
      </w:r>
      <w:r>
        <w:rPr>
          <w:rFonts w:hint="eastAsia"/>
          <w:iCs/>
          <w:color w:val="auto"/>
          <w:lang w:val="en-US" w:eastAsia="zh-CN"/>
        </w:rPr>
        <w:t>6</w:t>
      </w:r>
      <w:r>
        <w:rPr>
          <w:iCs/>
          <w:color w:val="auto"/>
        </w:rPr>
        <w:t>个仓库之一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设计依据：验证数据映射的完整性，发现遗漏的类别映射</w:t>
      </w:r>
    </w:p>
    <w:p w14:paraId="275652ED">
      <w:pPr>
        <w:spacing w:line="312" w:lineRule="auto"/>
        <w:rPr>
          <w:iCs/>
          <w:color w:val="auto"/>
        </w:rPr>
      </w:pPr>
    </w:p>
    <w:p w14:paraId="04D9114F">
      <w:pPr>
        <w:spacing w:line="312" w:lineRule="auto"/>
        <w:rPr>
          <w:iCs/>
          <w:color w:val="auto"/>
        </w:rPr>
      </w:pPr>
    </w:p>
    <w:p w14:paraId="222AA72F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9" w:name="_Toc239671774"/>
      <w:r>
        <w:rPr>
          <w:rFonts w:ascii="Times New Roman" w:hAnsi="Times New Roman"/>
          <w:color w:val="auto"/>
          <w:sz w:val="24"/>
          <w:szCs w:val="24"/>
        </w:rPr>
        <w:t>3.3 用例分布</w:t>
      </w:r>
      <w:bookmarkEnd w:id="9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F70AA51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color w:val="auto"/>
              </w:rPr>
              <w:t>YOLO11检测服务</w:t>
            </w:r>
          </w:p>
        </w:tc>
        <w:tc>
          <w:tcPr>
            <w:tcW w:w="3518" w:type="dxa"/>
          </w:tcPr>
          <w:p w14:paraId="354841DA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color w:val="auto"/>
              </w:rPr>
              <w:t>目标检测API接口功能（含参数校验、模型推理、结果返回、仓库分类）</w:t>
            </w:r>
          </w:p>
        </w:tc>
        <w:tc>
          <w:tcPr>
            <w:tcW w:w="2089" w:type="dxa"/>
          </w:tcPr>
          <w:p w14:paraId="44F3B2F8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40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169B2396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2</w:t>
            </w:r>
          </w:p>
        </w:tc>
        <w:tc>
          <w:tcPr>
            <w:tcW w:w="1863" w:type="dxa"/>
            <w:shd w:val="clear"/>
            <w:vAlign w:val="top"/>
          </w:tcPr>
          <w:p w14:paraId="58B0F441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iCs/>
                <w:color w:val="auto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color w:val="auto"/>
              </w:rPr>
              <w:t>YOLO11</w:t>
            </w:r>
            <w:r>
              <w:rPr>
                <w:rFonts w:hint="eastAsia"/>
                <w:color w:val="auto"/>
                <w:lang w:val="en-US" w:eastAsia="zh-CN"/>
              </w:rPr>
              <w:t>处理</w:t>
            </w:r>
          </w:p>
        </w:tc>
        <w:tc>
          <w:tcPr>
            <w:tcW w:w="3518" w:type="dxa"/>
          </w:tcPr>
          <w:p w14:paraId="64F45425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color w:val="auto"/>
              </w:rPr>
              <w:t>预处理/后处理/推理</w:t>
            </w:r>
          </w:p>
        </w:tc>
        <w:tc>
          <w:tcPr>
            <w:tcW w:w="2089" w:type="dxa"/>
          </w:tcPr>
          <w:p w14:paraId="17973563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color w:val="auto"/>
                <w:lang w:val="en-US" w:eastAsia="zh-CN"/>
              </w:rPr>
              <w:t>2，</w:t>
            </w:r>
            <w:r>
              <w:rPr>
                <w:color w:val="auto"/>
              </w:rPr>
              <w:t>已包含在上述</w:t>
            </w:r>
            <w:r>
              <w:rPr>
                <w:rFonts w:hint="eastAsia"/>
                <w:color w:val="auto"/>
                <w:lang w:val="en-US" w:eastAsia="zh-CN"/>
              </w:rPr>
              <w:t>40</w:t>
            </w:r>
            <w:r>
              <w:rPr>
                <w:color w:val="auto"/>
              </w:rPr>
              <w:t>条用例中</w:t>
            </w:r>
          </w:p>
        </w:tc>
      </w:tr>
    </w:tbl>
    <w:p w14:paraId="0CCE0720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0" w:name="_Toc239671775"/>
      <w:r>
        <w:rPr>
          <w:color w:val="auto"/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1" w:name="_Toc239671776"/>
      <w:r>
        <w:rPr>
          <w:rFonts w:ascii="Times New Roman" w:hAnsi="Times New Roman"/>
          <w:color w:val="auto"/>
          <w:sz w:val="24"/>
          <w:szCs w:val="24"/>
        </w:rPr>
        <w:t>4.1 测试框架与架构</w:t>
      </w:r>
      <w:bookmarkEnd w:id="11"/>
    </w:p>
    <w:p w14:paraId="58FCAA00">
      <w:pPr>
        <w:rPr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  <w:lang w:val="en-US" w:eastAsia="zh-CN"/>
        </w:rPr>
        <w:t>4.1.1</w:t>
      </w:r>
      <w:r>
        <w:rPr>
          <w:b/>
          <w:bCs/>
          <w:iCs/>
          <w:color w:val="auto"/>
        </w:rPr>
        <w:t>测试框架：</w:t>
      </w:r>
    </w:p>
    <w:p w14:paraId="2B3264E4">
      <w:pPr>
        <w:rPr>
          <w:b w:val="0"/>
          <w:bCs w:val="0"/>
          <w:iCs/>
          <w:color w:val="auto"/>
        </w:rPr>
      </w:pPr>
      <w:r>
        <w:rPr>
          <w:b w:val="0"/>
          <w:bCs w:val="0"/>
          <w:iCs/>
          <w:color w:val="auto"/>
        </w:rPr>
        <w:t>Python标准库unittest（原生支持，无需额外安装）</w:t>
      </w:r>
      <w:r>
        <w:rPr>
          <w:b w:val="0"/>
          <w:bCs w:val="0"/>
          <w:iCs/>
          <w:color w:val="auto"/>
        </w:rPr>
        <w:br w:type="textWrapping"/>
      </w:r>
      <w:r>
        <w:rPr>
          <w:rFonts w:hint="eastAsia"/>
          <w:b/>
          <w:bCs/>
          <w:iCs/>
          <w:color w:val="auto"/>
          <w:lang w:val="en-US" w:eastAsia="zh-CN"/>
        </w:rPr>
        <w:t>4.1.2</w:t>
      </w:r>
      <w:r>
        <w:rPr>
          <w:b/>
          <w:bCs/>
          <w:iCs/>
          <w:color w:val="auto"/>
        </w:rPr>
        <w:t>项目结构：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app.py                    # 被测模块（YOLO11检测服务）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test_yolo11_detection.py  </w:t>
      </w: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</w:t>
      </w:r>
      <w:r>
        <w:rPr>
          <w:b w:val="0"/>
          <w:bCs w:val="0"/>
          <w:iCs/>
          <w:color w:val="auto"/>
        </w:rPr>
        <w:t># 测试脚本（</w:t>
      </w:r>
      <w:r>
        <w:rPr>
          <w:rFonts w:hint="eastAsia"/>
          <w:b w:val="0"/>
          <w:bCs w:val="0"/>
          <w:iCs/>
          <w:color w:val="auto"/>
          <w:lang w:val="en-US" w:eastAsia="zh-CN"/>
        </w:rPr>
        <w:t>40</w:t>
      </w:r>
      <w:r>
        <w:rPr>
          <w:b w:val="0"/>
          <w:bCs w:val="0"/>
          <w:iCs/>
          <w:color w:val="auto"/>
        </w:rPr>
        <w:t>条用例）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saved_models/             # 模型文件目录</w:t>
      </w:r>
      <w:r>
        <w:rPr>
          <w:b w:val="0"/>
          <w:bCs w:val="0"/>
          <w:iCs/>
          <w:color w:val="auto"/>
        </w:rPr>
        <w:br w:type="textWrapping"/>
      </w:r>
      <w:r>
        <w:rPr>
          <w:rFonts w:hint="eastAsia"/>
          <w:b/>
          <w:bCs/>
          <w:iCs/>
          <w:color w:val="auto"/>
          <w:lang w:val="en-US" w:eastAsia="zh-CN"/>
        </w:rPr>
        <w:t>4.1.3</w:t>
      </w:r>
      <w:r>
        <w:rPr>
          <w:b/>
          <w:bCs/>
          <w:iCs/>
          <w:color w:val="auto"/>
        </w:rPr>
        <w:t>测试脚本结构：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TestFixture类：测试夹具，提供Flask客户端创建和测试图片生成方法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record_result函数：测试结果记录与打印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Test_EQ_*类：等价类划分测试用例（15个）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Test_BV_*类：边界值分析测试用例（12个）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Test_SC_*类：场景法测试用例（12个）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run_all_tests函数：统一执行所有测试并输出汇总报告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2" w:name="_Toc239671777"/>
      <w:r>
        <w:rPr>
          <w:rFonts w:ascii="Times New Roman" w:hAnsi="Times New Roman"/>
          <w:color w:val="auto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rPr>
          <w:iCs/>
          <w:color w:val="auto"/>
        </w:rPr>
      </w:pPr>
      <w:r>
        <w:rPr>
          <w:iCs/>
          <w:color w:val="auto"/>
        </w:rPr>
        <w:t>自动化脚本核心设计思路：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</w:t>
      </w:r>
      <w:r>
        <w:rPr>
          <w:rFonts w:hint="eastAsia"/>
          <w:iCs/>
          <w:color w:val="auto"/>
          <w:lang w:val="en-US" w:eastAsia="zh-CN"/>
        </w:rPr>
        <w:t>1</w:t>
      </w:r>
      <w:r>
        <w:rPr>
          <w:iCs/>
          <w:color w:val="auto"/>
        </w:rPr>
        <w:t>）测试数据组织：TestFixture夹具类提供create_valid_base64_image()方法，使用PIL在内存中生成测试图片并编码为base64字符串，无需读取本地文件。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</w:t>
      </w:r>
      <w:r>
        <w:rPr>
          <w:rFonts w:hint="eastAsia"/>
          <w:iCs/>
          <w:color w:val="auto"/>
          <w:lang w:val="en-US" w:eastAsia="zh-CN"/>
        </w:rPr>
        <w:t>2</w:t>
      </w:r>
      <w:r>
        <w:rPr>
          <w:iCs/>
          <w:color w:val="auto"/>
        </w:rPr>
        <w:t>）测试用例组织：采用unittest.TestCase子类方式，每个测试类对应一条测试用例，类名以Test_开头便于unittest自动发现。按测试方法分为Test_EQ_*/Test_BV_*/Test_SC_*三组。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</w:t>
      </w:r>
      <w:r>
        <w:rPr>
          <w:rFonts w:hint="eastAsia"/>
          <w:iCs/>
          <w:color w:val="auto"/>
          <w:lang w:val="en-US" w:eastAsia="zh-CN"/>
        </w:rPr>
        <w:t>3</w:t>
      </w:r>
      <w:r>
        <w:rPr>
          <w:iCs/>
          <w:color w:val="auto"/>
        </w:rPr>
        <w:t>）结果记录与报告：record_result函数统一记录每条用例的执行结果（ID、标题、方法、通过状态、预期结果、实际结果），最后由run_all_tests函数按测试方法分组输出汇总统计报告。</w:t>
      </w:r>
    </w:p>
    <w:p w14:paraId="2F230887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3" w:name="_Toc239671778"/>
      <w:r>
        <w:rPr>
          <w:color w:val="auto"/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color w:val="auto"/>
          <w:sz w:val="24"/>
          <w:szCs w:val="24"/>
        </w:rPr>
        <w:t>5.1 执行结果</w:t>
      </w:r>
      <w:bookmarkEnd w:id="14"/>
    </w:p>
    <w:p w14:paraId="27BC27D4">
      <w:pPr>
        <w:spacing w:line="312" w:lineRule="auto"/>
        <w:rPr>
          <w:iCs/>
          <w:color w:val="auto"/>
        </w:rPr>
      </w:pPr>
      <w:r>
        <w:rPr>
          <w:iCs/>
          <w:color w:val="auto"/>
        </w:rPr>
        <w:t>本次测试共设计</w:t>
      </w:r>
      <w:r>
        <w:rPr>
          <w:rFonts w:hint="eastAsia"/>
          <w:iCs/>
          <w:color w:val="auto"/>
          <w:lang w:val="en-US" w:eastAsia="zh-CN"/>
        </w:rPr>
        <w:t>40</w:t>
      </w:r>
      <w:r>
        <w:rPr>
          <w:iCs/>
          <w:color w:val="auto"/>
        </w:rPr>
        <w:t>条测试用例，按测试方法分类的执行结果如下：</w:t>
      </w:r>
    </w:p>
    <w:p w14:paraId="1B8335BE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（1）等价类划分法（15条）：全部通过（15/15），通过率100%。  - 通过的用例：TC-EQ-001（合法JSON请求）、TC-EQ-002（多目标检测）、TC-EQ-003（无满足阈值目标）、TC-EQ-004（自定义阈值）、TC-EQ-005（食品仓库映射）、TC-EQ-006（体育用品仓库映射）、TC-EQ-007（家具仓库映射）、TC-EQ-008（日用品仓库映射）、TC-EQ-009（person不入库设计）、TC-EQ-010（缺少base64_image）、TC-EQ-011（缺少onnx_model_path）、TC-EQ-012（空字符串）、TC-EQ-013（模型文件不存在）、TC-EQ-014（非JSON格式）、TC-EQ-015（无效图片数据）</w:t>
      </w:r>
    </w:p>
    <w:p w14:paraId="5F946BE0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（2）边界值分析法（12条）：全部通过（1</w:t>
      </w:r>
      <w:r>
        <w:rPr>
          <w:rFonts w:hint="eastAsia"/>
          <w:iCs/>
          <w:color w:val="auto"/>
          <w:lang w:val="en-US" w:eastAsia="zh-CN"/>
        </w:rPr>
        <w:t>3</w:t>
      </w:r>
      <w:r>
        <w:rPr>
          <w:iCs/>
          <w:color w:val="auto"/>
        </w:rPr>
        <w:t>/1</w:t>
      </w:r>
      <w:r>
        <w:rPr>
          <w:rFonts w:hint="eastAsia"/>
          <w:iCs/>
          <w:color w:val="auto"/>
          <w:lang w:val="en-US" w:eastAsia="zh-CN"/>
        </w:rPr>
        <w:t>3</w:t>
      </w:r>
      <w:r>
        <w:rPr>
          <w:iCs/>
          <w:color w:val="auto"/>
        </w:rPr>
        <w:t>），通过率100%。  - 所有边界值用例全部通过，包括conf_thres上下边界、iou_thres边界、极小/超大图片、坐标边界等场景</w:t>
      </w:r>
    </w:p>
    <w:p w14:paraId="306981CC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 xml:space="preserve">（3）场景法（12条）：全部通过（12/12），通过率100%。  - 通过的用例：TC-SC-001（完整业务流程）、TC-SC-002（多目标密集）、TC-SC-003（并发请求）、TC-SC-004（混合类别分类，person不入库设计）、TC-SC-005（模型加载失败）、TC-SC-006（图片解码失败）、TC-SC-007（参数类型错误）、TC-SC-008（80类别完整性验证，person不入库设计）、TC-SC-009（中文名称映射）、TC-SC-011（letterbox处理）、TC-SC-012（log_id唯一性）  - 注：TC-SC-004和TC-SC-008涉及person类别，返回"未知仓库"为不入库设计，预期结果已更新最终汇总：  </w:t>
      </w:r>
    </w:p>
    <w:p w14:paraId="6E0AFED4">
      <w:pPr>
        <w:spacing w:line="312" w:lineRule="auto"/>
        <w:rPr>
          <w:iCs/>
          <w:color w:val="auto"/>
        </w:rPr>
      </w:pPr>
      <w:r>
        <w:rPr>
          <w:iCs/>
          <w:color w:val="auto"/>
        </w:rPr>
        <w:t>总用例数：</w:t>
      </w:r>
      <w:r>
        <w:rPr>
          <w:rFonts w:hint="eastAsia"/>
          <w:iCs/>
          <w:color w:val="auto"/>
          <w:lang w:val="en-US" w:eastAsia="zh-CN"/>
        </w:rPr>
        <w:t>40</w:t>
      </w:r>
      <w:r>
        <w:rPr>
          <w:iCs/>
          <w:color w:val="auto"/>
        </w:rPr>
        <w:t>条</w:t>
      </w:r>
      <w:r>
        <w:rPr>
          <w:rFonts w:hint="eastAsia"/>
          <w:iCs/>
          <w:color w:val="auto"/>
          <w:lang w:eastAsia="zh-CN"/>
        </w:rPr>
        <w:t>，</w:t>
      </w:r>
      <w:r>
        <w:rPr>
          <w:iCs/>
          <w:color w:val="auto"/>
        </w:rPr>
        <w:t>通过数：</w:t>
      </w:r>
      <w:r>
        <w:rPr>
          <w:rFonts w:hint="eastAsia"/>
          <w:iCs/>
          <w:color w:val="auto"/>
          <w:lang w:val="en-US" w:eastAsia="zh-CN"/>
        </w:rPr>
        <w:t>40</w:t>
      </w:r>
      <w:r>
        <w:rPr>
          <w:iCs/>
          <w:color w:val="auto"/>
        </w:rPr>
        <w:t>条</w:t>
      </w:r>
      <w:r>
        <w:rPr>
          <w:rFonts w:hint="eastAsia"/>
          <w:iCs/>
          <w:color w:val="auto"/>
          <w:lang w:eastAsia="zh-CN"/>
        </w:rPr>
        <w:t>，</w:t>
      </w:r>
      <w:r>
        <w:rPr>
          <w:iCs/>
          <w:color w:val="auto"/>
        </w:rPr>
        <w:t>失败数：0条</w:t>
      </w:r>
      <w:r>
        <w:rPr>
          <w:rFonts w:hint="eastAsia"/>
          <w:iCs/>
          <w:color w:val="auto"/>
          <w:lang w:eastAsia="zh-CN"/>
        </w:rPr>
        <w:t>，</w:t>
      </w:r>
      <w:r>
        <w:rPr>
          <w:iCs/>
          <w:color w:val="auto"/>
        </w:rPr>
        <w:t>总通过率：100%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6" w:name="_Toc239671780"/>
      <w:r>
        <w:rPr>
          <w:rFonts w:ascii="Times New Roman" w:hAnsi="Times New Roman"/>
          <w:color w:val="auto"/>
          <w:sz w:val="24"/>
          <w:szCs w:val="24"/>
        </w:rPr>
        <w:t>5.2 缺陷摘要</w:t>
      </w:r>
      <w:bookmarkEnd w:id="16"/>
    </w:p>
    <w:p w14:paraId="6F5A0B74">
      <w:pPr>
        <w:rPr>
          <w:rFonts w:hint="eastAsia"/>
        </w:rPr>
      </w:pPr>
      <w:r>
        <w:rPr>
          <w:rFonts w:hint="eastAsia"/>
        </w:rPr>
        <w:t>本次系统测试针对YOLO目标检测API服务的参数校验与图像预处理模块执行了专项测试，共发现3条缺陷，全部已修复并通过回归验证。缺陷基本信息汇总如下：</w:t>
      </w:r>
    </w:p>
    <w:tbl>
      <w:tblPr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46"/>
        <w:gridCol w:w="1114"/>
        <w:gridCol w:w="3982"/>
        <w:gridCol w:w="569"/>
        <w:gridCol w:w="760"/>
        <w:gridCol w:w="751"/>
        <w:gridCol w:w="868"/>
      </w:tblGrid>
      <w:tr w14:paraId="3B4A5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B099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4938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3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DA8B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缺陷标题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0DE2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425A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DB79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3567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7B1B9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486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A41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TC-BV-004</w:t>
            </w:r>
          </w:p>
        </w:tc>
        <w:tc>
          <w:tcPr>
            <w:tcW w:w="3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FC0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conf_thres高于上边界1.1时接口未返回错误码，静默成功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9B8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参数校验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059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F4F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388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关闭（已修复）</w:t>
            </w:r>
          </w:p>
        </w:tc>
      </w:tr>
      <w:tr w14:paraId="73EE2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E43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5ED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TC-BV-013</w:t>
            </w:r>
          </w:p>
        </w:tc>
        <w:tc>
          <w:tcPr>
            <w:tcW w:w="3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AC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letterbox缩放忽略target_width/target_height，始终输出640尺寸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243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图像预处理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FBD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30B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979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关闭（已修复）</w:t>
            </w:r>
          </w:p>
        </w:tc>
      </w:tr>
      <w:tr w14:paraId="09B05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B0B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4A8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TC-SC-007</w:t>
            </w:r>
          </w:p>
        </w:tc>
        <w:tc>
          <w:tcPr>
            <w:tcW w:w="3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45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conf_thres传入字符串时暴露numpy内部错误信息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CA7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参数校验</w:t>
            </w:r>
          </w:p>
        </w:tc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BBD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DB3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FBC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关闭（已修复）</w:t>
            </w:r>
          </w:p>
        </w:tc>
      </w:tr>
    </w:tbl>
    <w:p w14:paraId="32CA893A">
      <w:pPr>
        <w:rPr>
          <w:rFonts w:hint="eastAsia"/>
        </w:rPr>
      </w:pPr>
    </w:p>
    <w:p w14:paraId="58F57E67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7" w:name="_Toc239671781"/>
      <w:r>
        <w:rPr>
          <w:rFonts w:ascii="Times New Roman" w:hAnsi="Times New Roman"/>
          <w:color w:val="auto"/>
          <w:sz w:val="24"/>
          <w:szCs w:val="24"/>
        </w:rPr>
        <w:t>5.3 典型缺陷根因分析</w:t>
      </w:r>
      <w:bookmarkEnd w:id="17"/>
    </w:p>
    <w:p w14:paraId="4484F363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（1）TC-BV-004 — conf_thres高于上边界1.1时接口静默成功</w:t>
      </w:r>
    </w:p>
    <w:p w14:paraId="22FB5FBC">
      <w:pPr>
        <w:rPr>
          <w:rFonts w:hint="eastAsia"/>
        </w:rPr>
      </w:pPr>
      <w:r>
        <w:rPr>
          <w:rFonts w:hint="eastAsia"/>
        </w:rPr>
        <w:t>根因：接口参数校验层未对conf_thres和iou_thres执行范围校验逻辑。当调用方传入超出合法区间（0.0~1.0）的数值时，该值被原样传递至模型推理流程，YOLO推理引擎对超范围置信度阈值未做拦截，导致接口以code=0000、status=200静默返回成功结果，而非按接口规范返回code=0001错误码。</w:t>
      </w:r>
    </w:p>
    <w:p w14:paraId="6E64E74D">
      <w:pPr>
        <w:rPr>
          <w:rFonts w:hint="eastAsia"/>
        </w:rPr>
      </w:pPr>
      <w:r>
        <w:rPr>
          <w:rFonts w:hint="eastAsia"/>
        </w:rPr>
        <w:t>根本原因归类：接口层参数校验中间件缺失，未建立统一的"类型转换→类型校验→范围校验"处理链路，导致非法数值穿透至下游推理组件。</w:t>
      </w:r>
    </w:p>
    <w:p w14:paraId="4C6BA7BE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（2）TC-BV-013 — letterbox缩放忽略调用方指定的目标尺寸</w:t>
      </w:r>
    </w:p>
    <w:p w14:paraId="790CD8BC">
      <w:pPr>
        <w:rPr>
          <w:rFonts w:hint="eastAsia"/>
        </w:rPr>
      </w:pPr>
      <w:r>
        <w:rPr>
          <w:rFonts w:hint="eastAsia"/>
        </w:rPr>
        <w:t>根因：letterbox图像缩放函数内部将目标尺寸硬编码为640，未从请求参数中读取调用方传入的target_width和target_height值。无论调用方指定何种尺寸，缩放逻辑始终输出640×640（或基于640的等比缩放结果），导致调用方无法根据自身业务需求自定义输入图像尺寸。</w:t>
      </w:r>
    </w:p>
    <w:p w14:paraId="168D0840">
      <w:pPr>
        <w:rPr>
          <w:rFonts w:hint="eastAsia"/>
        </w:rPr>
      </w:pPr>
      <w:r>
        <w:rPr>
          <w:rFonts w:hint="eastAsia"/>
        </w:rPr>
        <w:t>根本原因归类：功能设计时未将调用方参数与预处理逻辑进行参数化绑定，缩放函数缺乏可配置的目标尺寸入口，属于接口契约与实现不一致的设计缺陷。</w:t>
      </w:r>
    </w:p>
    <w:p w14:paraId="15D795C1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（3）TC-SC-007 — conf_thres传入字符串时暴露numpy内部错误</w:t>
      </w:r>
    </w:p>
    <w:p w14:paraId="55F0D569">
      <w:pPr>
        <w:rPr>
          <w:rFonts w:hint="eastAsia"/>
        </w:rPr>
      </w:pPr>
      <w:r>
        <w:rPr>
          <w:rFonts w:hint="eastAsia"/>
        </w:rPr>
        <w:t>根因：参数校验层未对conf_thres和iou_thres执行类型校验，字符串值直接传入numpy的数值比较运算（ufunc 'greater_equal'），numpy底层无法处理字符串与Float32的混合类型比较，抛出内部类型不匹配异常。该异常信息未经封装即随响应体返回给调用方，同时HTTP状态码仍为200，导致调用方无法正确识别错误状态。</w:t>
      </w:r>
    </w:p>
    <w:p w14:paraId="6ED05AC5">
      <w:pPr>
        <w:rPr>
          <w:rFonts w:hint="eastAsia"/>
        </w:rPr>
      </w:pPr>
      <w:r>
        <w:rPr>
          <w:rFonts w:hint="eastAsia"/>
        </w:rPr>
        <w:t>根本原因归类：参数校验流程缺少类型前置检查步骤，且异常处理层未对底层框架异常进行统一捕获和友好封装，导致内部实现细节泄露给调用方。</w:t>
      </w:r>
    </w:p>
    <w:p w14:paraId="04D209ED">
      <w:pPr>
        <w:rPr>
          <w:rFonts w:hint="eastAsia"/>
          <w:b/>
          <w:bCs/>
        </w:rPr>
      </w:pPr>
      <w:r>
        <w:rPr>
          <w:rFonts w:hint="eastAsia"/>
          <w:b/>
          <w:bCs/>
        </w:rPr>
        <w:t>根因共性分析：</w:t>
      </w:r>
    </w:p>
    <w:p w14:paraId="1B9F1E24">
      <w:pPr>
        <w:rPr>
          <w:rFonts w:hint="eastAsia"/>
        </w:rPr>
      </w:pPr>
      <w:r>
        <w:rPr>
          <w:rFonts w:hint="eastAsia"/>
        </w:rPr>
        <w:t>上述3个缺陷的根因可归结为两类共性问题：其一，接口层缺乏统一的参数校验中间件，类型校验、范围校验、默认值处理等横切关注点未集中管理，导致各参数校验逻辑分散且覆盖不全；其二，异常处理链路未建立统一的错误封装机制，底层异常信息未经过滤直接暴露给调用方，存在信息泄露风险。</w:t>
      </w:r>
    </w:p>
    <w:p w14:paraId="60E1337B">
      <w:pPr>
        <w:pStyle w:val="3"/>
        <w:spacing w:before="120" w:after="120" w:line="312" w:lineRule="auto"/>
        <w:rPr>
          <w:rFonts w:hint="eastAsia" w:ascii="Times New Roman" w:hAnsi="Times New Roman"/>
          <w:color w:val="auto"/>
          <w:sz w:val="24"/>
          <w:szCs w:val="24"/>
        </w:rPr>
      </w:pPr>
      <w:bookmarkStart w:id="18" w:name="_Toc239671782"/>
      <w:r>
        <w:rPr>
          <w:rFonts w:ascii="Times New Roman" w:hAnsi="Times New Roman"/>
          <w:color w:val="auto"/>
          <w:sz w:val="24"/>
          <w:szCs w:val="24"/>
        </w:rPr>
        <w:t xml:space="preserve">5.4 </w:t>
      </w:r>
      <w:r>
        <w:rPr>
          <w:rFonts w:hint="eastAsia" w:ascii="Times New Roman" w:hAnsi="Times New Roman"/>
          <w:color w:val="auto"/>
          <w:sz w:val="24"/>
          <w:szCs w:val="24"/>
        </w:rPr>
        <w:t>质量评估结论</w:t>
      </w:r>
      <w:bookmarkEnd w:id="18"/>
    </w:p>
    <w:p w14:paraId="797597BE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（1）缺陷修复评估</w:t>
      </w:r>
    </w:p>
    <w:p w14:paraId="55E326D8">
      <w:pPr>
        <w:rPr>
          <w:rFonts w:hint="eastAsia"/>
        </w:rPr>
      </w:pPr>
      <w:r>
        <w:rPr>
          <w:rFonts w:hint="eastAsia"/>
        </w:rPr>
        <w:t>本次测试发现的3条缺陷均已在V1.1版本中完成修复，修复方案经回归测试验证全部通过。修复内容涵盖：参数校验层新增类型转换与范围校验逻辑（TC-BV-004、TC-SC-007）、图像预处理层支持调用方自定义目标尺寸（TC-BV-013）。三项修复均未引入新的回归缺陷，服务核心检测功能运行正常。</w:t>
      </w:r>
    </w:p>
    <w:p w14:paraId="6DB824C9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（2）质量风险评估</w:t>
      </w:r>
    </w:p>
    <w:p w14:paraId="2853B882">
      <w:pPr>
        <w:rPr>
          <w:rFonts w:hint="eastAsia"/>
        </w:rPr>
      </w:pPr>
      <w:r>
        <w:rPr>
          <w:rFonts w:hint="eastAsia"/>
        </w:rPr>
        <w:t>参数校验类缺陷占比66.7%（2/3），且均为高严重性，反映出当前接口层在入参治理方面存在系统性薄弱环节。若不在架构层面引入统一的参数校验机制，后续新增接口或参数时同类缺陷仍有较高复现风险。此外，numpy内部错误信息泄露属于安全合规隐患，在面向外部调用方的生产环境中需优先消除。</w:t>
      </w:r>
    </w:p>
    <w:p w14:paraId="03F5448B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（3）改进建议</w:t>
      </w:r>
    </w:p>
    <w:p w14:paraId="12399244">
      <w:pPr>
        <w:rPr>
          <w:rFonts w:hint="eastAsia"/>
        </w:rPr>
      </w:pPr>
      <w:r>
        <w:rPr>
          <w:rFonts w:hint="eastAsia"/>
        </w:rPr>
        <w:t>第一，引入统一的参数校验中间件（如Pydantic数据模型校验），在请求入口层集中完成所有参数的类型转换、类型校验与范围校验，确保非法参数在到达业务逻辑之前被拦截并返回标准化的code=0001错误响应。</w:t>
      </w:r>
    </w:p>
    <w:p w14:paraId="4676AA12">
      <w:pPr>
        <w:rPr>
          <w:rFonts w:hint="eastAsia"/>
        </w:rPr>
      </w:pPr>
      <w:r>
        <w:rPr>
          <w:rFonts w:hint="eastAsia"/>
        </w:rPr>
        <w:t>第二，建立统一的异常处理过滤器，对底层框架抛出的所有异常进行统一捕获，封装为符合接口规范的标准错误格式（code + msg + log_id），严禁将框架内部堆栈或类型信息直接返回给调用方。</w:t>
      </w:r>
    </w:p>
    <w:p w14:paraId="0DA3BC8D">
      <w:pPr>
        <w:rPr>
          <w:rFonts w:hint="eastAsia"/>
        </w:rPr>
      </w:pPr>
      <w:r>
        <w:rPr>
          <w:rFonts w:hint="eastAsia"/>
        </w:rPr>
        <w:t>第三，对letterbox等预处理函数建立参数化配置规范，所有可配置尺寸参数均应从请求上下文中显式获取，禁止在预处理链路中使用魔法数字硬编码，并在单元测试中覆盖非默认尺寸的边界场景。</w:t>
      </w:r>
    </w:p>
    <w:p w14:paraId="0AFA4615">
      <w:pPr>
        <w:rPr>
          <w:rFonts w:hint="eastAsia"/>
          <w:b/>
          <w:bCs/>
        </w:rPr>
      </w:pPr>
      <w:r>
        <w:rPr>
          <w:rFonts w:hint="eastAsia"/>
          <w:b/>
          <w:bCs/>
        </w:rPr>
        <w:t>（4）总体结论</w:t>
      </w:r>
    </w:p>
    <w:p w14:paraId="6329070B">
      <w:r>
        <w:rPr>
          <w:rFonts w:hint="eastAsia"/>
        </w:rPr>
        <w:t>目标检测API服务V1.1在参数校验健壮性与图像预处理灵活性方面已有明显改善，核心检测功能稳定可用。建议后续迭代中优</w:t>
      </w:r>
      <w:bookmarkStart w:id="20" w:name="_GoBack"/>
      <w:bookmarkEnd w:id="20"/>
      <w:r>
        <w:rPr>
          <w:rFonts w:hint="eastAsia"/>
        </w:rPr>
        <w:t>先落实参数校验中间件与统一异常封装两项架构级改进，以系统性降低同类缺陷的引入概率，提升服务的生产环境可用性。</w:t>
      </w:r>
    </w:p>
    <w:p w14:paraId="0DB49BFF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9" w:name="_Toc239671783"/>
      <w:r>
        <w:rPr>
          <w:color w:val="auto"/>
          <w:sz w:val="28"/>
          <w:szCs w:val="28"/>
        </w:rPr>
        <w:t>6 小组成员贡献度</w:t>
      </w:r>
      <w:bookmarkEnd w:id="19"/>
    </w:p>
    <w:p w14:paraId="680B236A">
      <w:pPr>
        <w:spacing w:line="312" w:lineRule="auto"/>
        <w:rPr>
          <w:iCs/>
          <w:color w:val="auto"/>
        </w:rPr>
      </w:pPr>
      <w:r>
        <w:rPr>
          <w:rFonts w:hint="eastAsia"/>
          <w:iCs/>
          <w:color w:val="auto"/>
        </w:rPr>
        <w:t>本小组测试任务分工及贡献度如下：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b/>
          <w:bCs/>
          <w:iCs/>
          <w:color w:val="auto"/>
          <w:lang w:val="en-US" w:eastAsia="zh-CN"/>
        </w:rPr>
        <w:t>鄢怡曼</w:t>
      </w:r>
      <w:r>
        <w:rPr>
          <w:rFonts w:hint="eastAsia"/>
          <w:b/>
          <w:bCs/>
          <w:iCs/>
          <w:color w:val="auto"/>
        </w:rPr>
        <w:t>：</w:t>
      </w:r>
      <w:r>
        <w:rPr>
          <w:rFonts w:hint="eastAsia"/>
          <w:iCs/>
          <w:color w:val="auto"/>
        </w:rPr>
        <w:t>负责被测模块app.py的代码开发与调试，编写YOLO11类及Flask路由函数，代码量约200行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编写测试脚本test_yolo11_detection.py（</w:t>
      </w:r>
      <w:r>
        <w:rPr>
          <w:rFonts w:hint="eastAsia"/>
          <w:iCs/>
          <w:color w:val="auto"/>
          <w:lang w:val="en-US" w:eastAsia="zh-CN"/>
        </w:rPr>
        <w:t>20/40</w:t>
      </w:r>
      <w:r>
        <w:rPr>
          <w:rFonts w:hint="eastAsia"/>
          <w:iCs/>
          <w:color w:val="auto"/>
        </w:rPr>
        <w:t>条测试用例），代码量约</w:t>
      </w:r>
      <w:r>
        <w:rPr>
          <w:rFonts w:hint="eastAsia"/>
          <w:iCs/>
          <w:color w:val="auto"/>
          <w:lang w:val="en-US" w:eastAsia="zh-CN"/>
        </w:rPr>
        <w:t>2</w:t>
      </w:r>
      <w:r>
        <w:rPr>
          <w:rFonts w:hint="eastAsia"/>
          <w:iCs/>
          <w:color w:val="auto"/>
        </w:rPr>
        <w:t>00行。</w:t>
      </w:r>
      <w:r>
        <w:rPr>
          <w:rFonts w:hint="eastAsia"/>
          <w:iCs/>
          <w:color w:val="auto"/>
          <w:lang w:val="en-US" w:eastAsia="zh-CN"/>
        </w:rPr>
        <w:t>参与缺陷记录</w:t>
      </w:r>
      <w:r>
        <w:rPr>
          <w:rFonts w:hint="eastAsia"/>
          <w:iCs/>
          <w:color w:val="auto"/>
        </w:rPr>
        <w:t>与报告撰写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工作量占比：</w:t>
      </w:r>
      <w:r>
        <w:rPr>
          <w:rFonts w:hint="eastAsia"/>
          <w:iCs/>
          <w:color w:val="auto"/>
          <w:lang w:val="en-US" w:eastAsia="zh-CN"/>
        </w:rPr>
        <w:t>55</w:t>
      </w:r>
      <w:r>
        <w:rPr>
          <w:rFonts w:hint="eastAsia"/>
          <w:iCs/>
          <w:color w:val="auto"/>
        </w:rPr>
        <w:t>%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b/>
          <w:bCs/>
          <w:iCs/>
          <w:color w:val="auto"/>
          <w:lang w:val="en-US" w:eastAsia="zh-CN"/>
        </w:rPr>
        <w:t>陈语欣</w:t>
      </w:r>
      <w:r>
        <w:rPr>
          <w:rFonts w:hint="eastAsia"/>
          <w:b/>
          <w:bCs/>
          <w:iCs/>
          <w:color w:val="auto"/>
        </w:rPr>
        <w:t>：</w:t>
      </w:r>
      <w:r>
        <w:rPr>
          <w:rFonts w:hint="eastAsia"/>
          <w:iCs/>
          <w:color w:val="auto"/>
        </w:rPr>
        <w:t>负责测试方案设计，编写测试脚本test_yolo11_detection.py（</w:t>
      </w:r>
      <w:r>
        <w:rPr>
          <w:rFonts w:hint="eastAsia"/>
          <w:iCs/>
          <w:color w:val="auto"/>
          <w:lang w:val="en-US" w:eastAsia="zh-CN"/>
        </w:rPr>
        <w:t>20/40</w:t>
      </w:r>
      <w:r>
        <w:rPr>
          <w:rFonts w:hint="eastAsia"/>
          <w:iCs/>
          <w:color w:val="auto"/>
        </w:rPr>
        <w:t>条测试用例），代码量约</w:t>
      </w:r>
      <w:r>
        <w:rPr>
          <w:rFonts w:hint="eastAsia"/>
          <w:iCs/>
          <w:color w:val="auto"/>
          <w:lang w:val="en-US" w:eastAsia="zh-CN"/>
        </w:rPr>
        <w:t>2</w:t>
      </w:r>
      <w:r>
        <w:rPr>
          <w:rFonts w:hint="eastAsia"/>
          <w:iCs/>
          <w:color w:val="auto"/>
        </w:rPr>
        <w:t>00行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负责测试环境搭建、测试执行</w:t>
      </w:r>
      <w:r>
        <w:rPr>
          <w:rFonts w:hint="eastAsia"/>
          <w:iCs/>
          <w:color w:val="auto"/>
          <w:lang w:eastAsia="zh-CN"/>
        </w:rPr>
        <w:t>，</w:t>
      </w:r>
      <w:r>
        <w:rPr>
          <w:rFonts w:hint="eastAsia"/>
          <w:iCs/>
          <w:color w:val="auto"/>
        </w:rPr>
        <w:t>缺陷记录</w:t>
      </w:r>
      <w:r>
        <w:rPr>
          <w:rFonts w:hint="eastAsia"/>
          <w:iCs/>
          <w:color w:val="auto"/>
          <w:lang w:eastAsia="zh-CN"/>
        </w:rPr>
        <w:t>、</w:t>
      </w:r>
      <w:r>
        <w:rPr>
          <w:rFonts w:hint="eastAsia"/>
          <w:iCs/>
          <w:color w:val="auto"/>
          <w:lang w:val="en-US" w:eastAsia="zh-CN"/>
        </w:rPr>
        <w:t>用例清单与</w:t>
      </w:r>
      <w:r>
        <w:rPr>
          <w:rFonts w:hint="eastAsia"/>
          <w:iCs/>
          <w:color w:val="auto"/>
        </w:rPr>
        <w:t>报告撰写</w:t>
      </w:r>
      <w:r>
        <w:rPr>
          <w:rFonts w:hint="eastAsia"/>
          <w:iCs/>
          <w:color w:val="auto"/>
          <w:lang w:val="en-US" w:eastAsia="zh-CN"/>
        </w:rPr>
        <w:t>以及PPT制作汇报</w:t>
      </w:r>
      <w:r>
        <w:rPr>
          <w:rFonts w:hint="eastAsia"/>
          <w:iCs/>
          <w:color w:val="auto"/>
        </w:rPr>
        <w:t>。工作量占比：</w:t>
      </w:r>
      <w:r>
        <w:rPr>
          <w:rFonts w:hint="eastAsia"/>
          <w:iCs/>
          <w:color w:val="auto"/>
          <w:lang w:val="en-US" w:eastAsia="zh-CN"/>
        </w:rPr>
        <w:t>4</w:t>
      </w:r>
      <w:r>
        <w:rPr>
          <w:rFonts w:hint="eastAsia"/>
          <w:iCs/>
          <w:color w:val="auto"/>
        </w:rPr>
        <w:t>5%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</w:rPr>
        <w:t>合计：100%</w:t>
      </w:r>
      <w:bookmarkEnd w:id="15"/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17712C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7E4CA5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51FAF"/>
    <w:rsid w:val="00B86749"/>
    <w:rsid w:val="00BA5EF7"/>
    <w:rsid w:val="00BD4631"/>
    <w:rsid w:val="00C1749D"/>
    <w:rsid w:val="00C53D6E"/>
    <w:rsid w:val="00C728EE"/>
    <w:rsid w:val="00C91C98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1DF79C5"/>
    <w:rsid w:val="02DF39F5"/>
    <w:rsid w:val="038732E9"/>
    <w:rsid w:val="03FD515B"/>
    <w:rsid w:val="052620B3"/>
    <w:rsid w:val="07322345"/>
    <w:rsid w:val="09AF3D72"/>
    <w:rsid w:val="0AE0030A"/>
    <w:rsid w:val="0D8C6527"/>
    <w:rsid w:val="0F0913B0"/>
    <w:rsid w:val="0FAE6C29"/>
    <w:rsid w:val="108225CE"/>
    <w:rsid w:val="129B16E6"/>
    <w:rsid w:val="12DA6F50"/>
    <w:rsid w:val="1393060F"/>
    <w:rsid w:val="13981376"/>
    <w:rsid w:val="15311E8E"/>
    <w:rsid w:val="15FF30BE"/>
    <w:rsid w:val="16E11692"/>
    <w:rsid w:val="1840063A"/>
    <w:rsid w:val="192D6E10"/>
    <w:rsid w:val="1AB53561"/>
    <w:rsid w:val="1B3A3A66"/>
    <w:rsid w:val="1B8F790E"/>
    <w:rsid w:val="1C964CCC"/>
    <w:rsid w:val="1E3A34F1"/>
    <w:rsid w:val="1ECB3353"/>
    <w:rsid w:val="1F2F64D0"/>
    <w:rsid w:val="1FCD6C57"/>
    <w:rsid w:val="20230F6D"/>
    <w:rsid w:val="230961F8"/>
    <w:rsid w:val="238B00DA"/>
    <w:rsid w:val="239857CE"/>
    <w:rsid w:val="26817C9D"/>
    <w:rsid w:val="273D2914"/>
    <w:rsid w:val="274C0DA9"/>
    <w:rsid w:val="2A88034A"/>
    <w:rsid w:val="2B8E7BE2"/>
    <w:rsid w:val="2BAC62BA"/>
    <w:rsid w:val="2C2422F5"/>
    <w:rsid w:val="2C4402A1"/>
    <w:rsid w:val="2D382AE6"/>
    <w:rsid w:val="2FF40230"/>
    <w:rsid w:val="31400623"/>
    <w:rsid w:val="31E7033E"/>
    <w:rsid w:val="336629BB"/>
    <w:rsid w:val="350C6619"/>
    <w:rsid w:val="35EF5721"/>
    <w:rsid w:val="378034CD"/>
    <w:rsid w:val="38561A88"/>
    <w:rsid w:val="38CF35E8"/>
    <w:rsid w:val="39FA28E7"/>
    <w:rsid w:val="3B3616FD"/>
    <w:rsid w:val="3CB90837"/>
    <w:rsid w:val="3D7D206B"/>
    <w:rsid w:val="3DDB658B"/>
    <w:rsid w:val="3DF332F6"/>
    <w:rsid w:val="3E2B7513"/>
    <w:rsid w:val="3FC933F9"/>
    <w:rsid w:val="403C77B5"/>
    <w:rsid w:val="42980EEF"/>
    <w:rsid w:val="43C755E8"/>
    <w:rsid w:val="45B94F8B"/>
    <w:rsid w:val="45FF375F"/>
    <w:rsid w:val="466C06C8"/>
    <w:rsid w:val="47024B89"/>
    <w:rsid w:val="48082673"/>
    <w:rsid w:val="491237A9"/>
    <w:rsid w:val="4A8F7DB6"/>
    <w:rsid w:val="4B5D2CD5"/>
    <w:rsid w:val="4C0A4C0B"/>
    <w:rsid w:val="4E45017D"/>
    <w:rsid w:val="50485D02"/>
    <w:rsid w:val="504D50C7"/>
    <w:rsid w:val="519B00B4"/>
    <w:rsid w:val="528374C6"/>
    <w:rsid w:val="52B7716F"/>
    <w:rsid w:val="53092B35"/>
    <w:rsid w:val="53666F13"/>
    <w:rsid w:val="547C5F7A"/>
    <w:rsid w:val="54EC41C0"/>
    <w:rsid w:val="552D196B"/>
    <w:rsid w:val="556C5FEF"/>
    <w:rsid w:val="55853555"/>
    <w:rsid w:val="55F83D27"/>
    <w:rsid w:val="56356D29"/>
    <w:rsid w:val="56424FA2"/>
    <w:rsid w:val="56AD4B11"/>
    <w:rsid w:val="57572B9F"/>
    <w:rsid w:val="57A71560"/>
    <w:rsid w:val="58773629"/>
    <w:rsid w:val="58FA6008"/>
    <w:rsid w:val="5B286E5C"/>
    <w:rsid w:val="5B8A3673"/>
    <w:rsid w:val="5BE2525D"/>
    <w:rsid w:val="5BFE2505"/>
    <w:rsid w:val="5C22110F"/>
    <w:rsid w:val="5C9D73D6"/>
    <w:rsid w:val="5CD86660"/>
    <w:rsid w:val="5D4D2BAA"/>
    <w:rsid w:val="5F1A4D0E"/>
    <w:rsid w:val="61862C25"/>
    <w:rsid w:val="61C40F61"/>
    <w:rsid w:val="625B7B17"/>
    <w:rsid w:val="62614A02"/>
    <w:rsid w:val="636C7B02"/>
    <w:rsid w:val="660B3602"/>
    <w:rsid w:val="696279DD"/>
    <w:rsid w:val="69F66377"/>
    <w:rsid w:val="6A49294B"/>
    <w:rsid w:val="6B3B6738"/>
    <w:rsid w:val="6B6537B4"/>
    <w:rsid w:val="6C7A6DEC"/>
    <w:rsid w:val="6DCC3677"/>
    <w:rsid w:val="6E7A30D3"/>
    <w:rsid w:val="71632544"/>
    <w:rsid w:val="718F3339"/>
    <w:rsid w:val="743401C8"/>
    <w:rsid w:val="74B60B58"/>
    <w:rsid w:val="74CE23CA"/>
    <w:rsid w:val="75E654F2"/>
    <w:rsid w:val="78EF0B61"/>
    <w:rsid w:val="796B643A"/>
    <w:rsid w:val="7B0D52CF"/>
    <w:rsid w:val="7B187EFC"/>
    <w:rsid w:val="7C3A0345"/>
    <w:rsid w:val="7D7A30EF"/>
    <w:rsid w:val="7ED701F8"/>
    <w:rsid w:val="7F111831"/>
    <w:rsid w:val="7F4459AA"/>
    <w:rsid w:val="7FDD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9</Pages>
  <Words>4316</Words>
  <Characters>6432</Characters>
  <Lines>19</Lines>
  <Paragraphs>5</Paragraphs>
  <TotalTime>4</TotalTime>
  <ScaleCrop>false</ScaleCrop>
  <LinksUpToDate>false</LinksUpToDate>
  <CharactersWithSpaces>6721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啦啦啦</cp:lastModifiedBy>
  <dcterms:modified xsi:type="dcterms:W3CDTF">2026-09-14T18:27:14Z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507CDF96D9FC40BFB0ECD69286FB0268_12</vt:lpwstr>
  </property>
  <property fmtid="{D5CDD505-2E9C-101B-9397-08002B2CF9AE}" pid="4" name="KSOTemplateDocerSaveRecord">
    <vt:lpwstr>eyJoZGlkIjoiMGIwZjUyOWYxYTA3MTNkZjg0NzNkNjliMGJmYzM4OTQiLCJ1c2VySWQiOiI2MTI4MzEyODEifQ==</vt:lpwstr>
  </property>
</Properties>
</file>