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Железо которое нам надо</w:t>
      </w:r>
    </w:p>
    <w:p>
      <w:pPr>
        <w:pStyle w:val="BodyText"/>
        <w:bidi w:val="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en-US"/>
        </w:rPr>
        <w:t>Unity-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разработчик </w:t>
      </w:r>
    </w:p>
    <w:p>
      <w:pPr>
        <w:pStyle w:val="Heading2"/>
        <w:bidi w:val="0"/>
        <w:jc w:val="start"/>
        <w:rPr>
          <w:rFonts w:ascii="Times New Roman" w:hAnsi="Times New Roman"/>
          <w:b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i w:val="false"/>
          <w:iCs w:val="false"/>
          <w:sz w:val="24"/>
          <w:szCs w:val="24"/>
        </w:rPr>
        <w:t>1. Центральный процессор: AMD Ryzen 5 5600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Архитектурное превосходство: Использование архитектуры Zen 3 с объемом L3-кеша в 32 МБ критически важно для геймдева. В отличие от бюджетных аналогов, этот объем позволяет процессору быстрее обрабатывать сложные иерархии объектов в Unity и ускорять деформацию высокополигональных мешей в Blender.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Многопоточность для Dev-задач: 12 вычислительных потоков являются индустриальным стандартом для параллельных вычислений: компиляции шейдеров, генерации навигационных сеток (NavMesh) и просчета физики тканей.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Экономическая стратегия: Выбор платформы AM4 позволяет сократить расходы на материнскую плату и ОЗУ без потери производительности в разработке. Сэкономленные средства инвестированы в графическую подсистему (RTX 4070 Super), что дает больший прирост в скорости работы, чем переход на более дорогую платформу Intel.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2.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Видеокарта MSI GeForce RTX 4070 SUPER GAMING X SLIM</w:t>
      </w:r>
    </w:p>
    <w:p>
      <w:pPr>
        <w:pStyle w:val="BodyText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Аппаратное ускорение (CUDA &amp; RT ядра): В разработке игр и 3D-графике видеокарты NVIDIA являются безальтернативным стандартом. Технология OptiX в Blender позволяет сократить время рендеринга в 3-5 раз по сравнению с CPU, а ядра RT необходимы для корректного тестирования освещения в реальном времени.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Объем и тип памяти: 12 ГБ видеопамяти GDDR6X — это необходимый порог для работы с 4K-текстурами и сложными сценами. При нехватке видеопамяти движки (Unity/Unreal) начинают использовать медленную ОЗУ, что приводит к критическим вылетам редактора и потере данных.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Технологический стек: Поддержка DLSS 3.5 позволяет разработчику оптимизировать игру под самые современные технологии апскейлинга, что невозможно на картах прошлых поколений или аналогах от AMD.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3.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Материнская плата GIGABYTE B550M AORUS ELITE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Поддержка PCIe 4.0: Это ключевой аргумент. Шина четвертого поколения удваивает пропускную способность между видеокартой и процессором, а также позволяет NVMe-накопителям работать на скоростях выше 3500 МБ/с. На более дешевых платах (A520/B450) потенциал мощной видеокарты и быстрого SSD будет ограничен.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Надежность и VRM: Платы серий DS3H или PRO-VDH обладают усиленными цепями питания и радиаторами. Это гарантирует стабильную работу системы при многочасовых рендерах, когда процессор и память работают на пределе возможностей, исключая риск перегрева и внезапной перезагрузки.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4. Оперативная память: 32GB DDR4 3200MHz (2x16GB Kit) Kingston FURY Beast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Многозадачность (Workflow): Современный пайплай разработки подразумевает одновременную работу Unity, Visual Studio, браузера с 20+ вкладками и графического редактора (Substance Painter/Blender). 16 ГБ памяти в таких условиях заполняются мгновенно, приводя к фризам системы. 32 ГБ обеспечивают плавную работу и исключают износ SSD через файл подкачки.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Двухканальный режим: Использование двух модулей памяти удваивает скорость обмена данными, что напрямую влияет на минимальный FPS во вьюпорте при редактировании тяжелых игровых локаций.</w:t>
      </w:r>
    </w:p>
    <w:p>
      <w:pPr>
        <w:pStyle w:val="Heading2"/>
        <w:spacing w:lineRule="auto" w:line="276" w:before="0" w:after="140"/>
        <w:rPr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>5. Накопитель: 1TB NVMe M.2 SSD (Kingston NV2 / KC3000)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Скорость импорта ассетов: Протокол NVMe обеспечивает скорость до 7000 МБ/с (для KC3000). В геймдеве, где проект может состоять из тысяч мелких файлов и тяжелых текстур, это сокращает время импорта ассетов и открытия сцен в несколько раз по сравнению с SATA SSD.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Ресурс и объем: Объем 1 ТБ выбран с учетом специфики Unity: папка </w:t>
      </w:r>
      <w:r>
        <w:rPr>
          <w:rStyle w:val="Style11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Library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крупных проектах может занимать сотни гигабайт. Использование высококачественной памяти обеспечивает долговечность диска при постоянной перезаписи временных данных</w:t>
      </w:r>
      <w:r>
        <w:rPr>
          <w:rFonts w:ascii="Times New Roman" w:hAnsi="Times New Roman"/>
          <w:b/>
          <w:i w:val="false"/>
          <w:iCs w:val="false"/>
          <w:sz w:val="24"/>
          <w:szCs w:val="24"/>
        </w:rPr>
        <w:t>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6. Блок питания: Deepcool PK650D (80+ Bronze)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Защита инвестиций: Блок питания — это гарантия безопасности всего дорогостоящего железа. Сертификат 80+ Bronze означает высокую энергоэффективность и наличие защит от короткого замыкания, скачков напряжения и перегрузки.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Акустический комфорт: Выбор мощности 650 Вт при реальном потреблении системы в ~350 Вт позволяет блоку питания работать вполсилы. Это минимизирует нагрев и шум вентилятора, создавая комфортную рабочую среду для длительной творческой деятельност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ь</w:t>
      </w:r>
    </w:p>
    <w:p>
      <w:pPr>
        <w:pStyle w:val="Normal"/>
        <w:spacing w:lineRule="auto" w:line="276" w:before="0" w:after="140"/>
        <w:rPr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>7.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 xml:space="preserve"> Система охлаждения процессора: ID-Cooling SE-224-XTS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Терморегуляция и ресурс: В отличие от стандартных решений, башенный кулер с четырьмя медными тепловыми трубками обеспечивает эффективный отвод тепла при длительных вычислительных нагрузках.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Стабильность частот: Качественное охлаждение предотвращает троттлинг (сброс частот процессора при нагреве), что гарантирует стабильно высокую производительность на протяжении всего процесса работы над сложной сценой.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8</w:t>
      </w:r>
      <w:r>
        <w:rPr>
          <w:rFonts w:ascii="Times New Roman" w:hAnsi="Times New Roman"/>
          <w:i w:val="false"/>
          <w:iCs w:val="false"/>
          <w:sz w:val="24"/>
          <w:szCs w:val="24"/>
        </w:rPr>
        <w:t>. Корпус: Deepcool CC560 V2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Воздушный поток (Airflow): Корпус оснащен перфорированной передней панелью и четырьмя предустановленными вентиляторами. Это создает сквозной обдув всех внутренних компонентов, предотвращая накопление горячего воздуха от видеокарты, что жизненно важно для стабильности системы во время многочасового рендеринга.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Эргономика: Продуманная конструкция позволяет удобно разместить кабели, не препятствуя охлаждению.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Сумма: </w:t>
      </w:r>
      <w:r>
        <w:rPr>
          <w:rFonts w:ascii="Times New Roman" w:hAnsi="Times New Roman"/>
          <w:caps w:val="false"/>
          <w:smallCaps w:val="false"/>
          <w:color w:val="FFFFFF"/>
          <w:spacing w:val="0"/>
          <w:sz w:val="24"/>
          <w:szCs w:val="24"/>
          <w14:textFill>
            <w14:solidFill>
              <w14:srgbClr w14:val="FFFFFF">
                <w14:alpha w14:val="25000"/>
              </w14:srgbClr>
            </w14:solidFill>
          </w14:textFill>
        </w:rPr>
        <w:t> </w:t>
      </w:r>
      <w:r>
        <w:rPr>
          <w:rStyle w:val="Strong"/>
          <w:rFonts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≈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130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000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  <w:t>₽</w:t>
      </w:r>
    </w:p>
    <w:p>
      <w:pPr>
        <w:pStyle w:val="Normal"/>
        <w:bidi w:val="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>3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en-US"/>
        </w:rPr>
        <w:t>-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>Р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>азработчик</w:t>
      </w:r>
    </w:p>
    <w:p>
      <w:pPr>
        <w:pStyle w:val="Heading1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1. Центральный процессор: AMD Ryzen 5 5600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Архитектурные преимущества: Процессор на базе архитектуры Zen 3 с 6 ядрами и 12 вычислительными потоками является оптимальным решением для рабочих станций 3D-моделирования. Высокая производительность на одно ядро критически важна для работы вьюпорта в Blender, Maya и 3ds Max, обеспечивая плавное взаимодействие со сложными геометрическими объектами.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Многозадачность: 12 потоков позволяют эффективно распределять нагрузку при симуляции физики, деформации мешей и фоновых процессах запекания ассетов.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Экономическая обоснованность: Выбор данной модели позволяет направить существенную часть бюджета на графическую подсистему и систему хранения данных, что дает более выраженный прирост производительности в профессиональном ПО по сравнению с переходом на дорогостоящие флагманские CPU.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2. Видеокарта: MSI NVIDIA GeForce RTX 4070 VENTUS 2X OC (12GB)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Аппаратное ускорение рендеринга: В сфере 3D-дизайна видеокарты NVIDIA являются безальтернативным стандартом благодаря ядрам CUDA и RT. Технология OptiX позволяет использовать аппаратную трассировку лучей, что ускоряет финальный рендер сцен в разы по сравнению с любыми другими решениями.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Объем видеопамяти (12 ГБ): Это критический параметр для работы с высокополигональными сценами и текстурными сетами высокого разрешения (4K/8K). Наличие 12 ГБ VRAM исключает ошибки нехватки памяти (Out of Memory) при работе в Substance Painter и движках рендеринга.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Надежность бренда: Серия Ventus от MSI выбрана за качественную компонентную базу и эффективную систему охлаждения, рассчитанную на длительную эксплуатацию под нагрузкой.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3. Система охлаждения процессора: ID-Cooling SE-224-XTS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Терморегуляция и ресурс: В отличие от стандартных решений, башенный кулер с четырьмя медными тепловыми трубками обеспечивает эффективный отвод тепла при длительных вычислительных нагрузках.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Стабильность частот: Качественное охлаждение предотвращает троттлинг (сброс частот процессора при нагреве), что гарантирует стабильно высокую производительность на протяжении всего процесса работы над сложной сценой.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4. Оперативная память: 32GB DDR4 3200MHz (2x16GB Kit) Kingston FURY Beast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Профессиональный стандарт: Объем 32 ГБ является необходимым для комфортной работы в современных пайплайнах. Это позволяет одновременно держать запущенными пакет моделирования, софт для текстурирования и движок для визуализации без использования файла подкачки.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Двухканальный режим: Использование комплекта из двух модулей (Kit) удваивает пропускную способность памяти, что напрямую влияет на скорость взаимодействия процессора с тяжелыми сценами и массивами данных.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5. Материнская плата: MSI B550M PRO-VDH WIFI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Высокая надежность: Плата оснащена радиаторами на цепях питания (VRM), что критично при длительных рендер-сессиях. Поддержка интерфейса PCIe 4.0 гарантирует отсутствие «бутылочного горлышка» при обмене данными между видеокартой и накопителем.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Функциональность: Встроенный модуль Wi-Fi обеспечивает гибкость в организации рабочего пространства и стабильный доступ к облачным библиотекам ассетов.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6. Накопитель: 1TB NVMe M.2 SSD Kingston KC3000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Экстремальные скорости: Выбрана флагманская модель со скоростями до 7000 МБ/с. В 3D-разработке это радикально ускоряет работу с кэшем симуляций, импорт тяжелых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моделей и процесс автосохранения файлов, которые могут весить несколько гигабайт.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Долговечность: Использование высокоскоростной памяти обеспечивает большой ресурс перезаписи (TBW), что важно при постоянной работе с временными файлами проектов.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7. Корпус: Deepcool CC560 V2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Воздушный поток (Airflow): Корпус оснащен перфорированной передней панелью и четырьмя предустановленными вентиляторами. Это создает сквозной обдув всех внутренних компонентов, предотвращая накопление горячего воздуха от видеокарты, что жизненно важно для стабильности системы во время многочасового рендеринга.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Эргономика: Продуманная конструкция позволяет удобно разместить кабели, не препятствуя охлаждению.</w:t>
      </w:r>
    </w:p>
    <w:p>
      <w:pPr>
        <w:pStyle w:val="Heading2"/>
        <w:spacing w:lineRule="auto" w:line="276" w:before="0" w:after="140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8. Блок питания: Deepcool PK650D (650W, 80+ Bronze)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Защита и стабильность: Блок питания мощностью 650 Вт работает с существенным запасом, что гарантирует тихую работу и высокий КПД. Наличие современных защит предохраняет дорогостоящие комплектующие от нестабильности электросети, обеспечивая сохранность результатов работы разработчика.</w:t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Сумма: </w:t>
      </w:r>
      <w:r>
        <w:rPr>
          <w:rFonts w:ascii="Times New Roman" w:hAnsi="Times New Roman"/>
          <w:caps w:val="false"/>
          <w:smallCaps w:val="false"/>
          <w:color w:val="FFFFFF"/>
          <w:spacing w:val="0"/>
          <w:sz w:val="24"/>
          <w:szCs w:val="24"/>
          <w14:textFill>
            <w14:solidFill>
              <w14:srgbClr w14:val="FFFFFF">
                <w14:alpha w14:val="25000"/>
              </w14:srgbClr>
            </w14:solidFill>
          </w14:textFill>
        </w:rPr>
        <w:t> </w:t>
      </w:r>
      <w:r>
        <w:rPr>
          <w:rStyle w:val="Strong"/>
          <w:rFonts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≈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en-US"/>
        </w:rPr>
        <w:t>130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 000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  <w:t>₽</w:t>
      </w:r>
    </w:p>
    <w:p>
      <w:pPr>
        <w:pStyle w:val="BodyText"/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>Левел-дизайнер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Модель: </w:t>
      </w: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4"/>
          <w:szCs w:val="24"/>
        </w:rPr>
        <w:t>Apple MacBook Air 13 (2025) M4 10-CPU, 10-GPU, 16ГБ/512ГБ SSD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 w:val="false"/>
          <w:i w:val="false"/>
          <w:iCs w:val="false"/>
          <w:sz w:val="24"/>
          <w:szCs w:val="24"/>
          <w:lang w:val="ru-RU"/>
        </w:rPr>
        <w:t>1. Пиковая производительность и аппаратное ускорение (M4 Chip)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Новейшая архитектура чипа M4 с 10-ядерным процессором (CPU) и 10-ядерным графическим процессором (GPU) обеспечивает до 2-х раз большую производительность по сравнению с чипами первого поколения (M1). Наличие </w:t>
      </w:r>
      <w:r>
        <w:rPr>
          <w:rFonts w:ascii="Times New Roman" w:hAnsi="Times New Roman"/>
          <w:b/>
          <w:bCs w:val="false"/>
          <w:i w:val="false"/>
          <w:iCs w:val="false"/>
          <w:sz w:val="24"/>
          <w:szCs w:val="24"/>
          <w:lang w:val="ru-RU"/>
        </w:rPr>
        <w:t>аппаратного ускорения трассировки лучей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и мощного 16-ядерного нейронного движка (Neural Engine) позволяет эффективно работать с инструментами на базе ИИ и сложной визуализацией данных, что делает устройство актуальным на весь срок реализации проекта.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Улучшенный дисплей Liquid Retina</w:t>
      </w:r>
      <w:r>
        <w:rPr>
          <w:rFonts w:ascii="Times New Roman" w:hAnsi="Times New Roman"/>
          <w:sz w:val="24"/>
          <w:szCs w:val="24"/>
        </w:rPr>
        <w:t xml:space="preserve"> Дисплей Liquid Retina с увеличенной яркостью (до 500 нит) и поддержкой 1 миллиарда цветов (P3) обеспечивает эталонную четкость шрифтов и изображений. Это критически важно для работы с визуальными референсами и минимизации нагрузки на зрение при длительном чтении и написании текстов.</w:t>
      </w:r>
    </w:p>
    <w:p>
      <w:pPr>
        <w:pStyle w:val="Body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Оптимизированный объем памяти и хранения (16ГБ / 512ГБ)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16 ГБ объединенной памяти:</w:t>
      </w:r>
      <w:r>
        <w:rPr>
          <w:rFonts w:ascii="Times New Roman" w:hAnsi="Times New Roman"/>
          <w:sz w:val="24"/>
          <w:szCs w:val="24"/>
        </w:rPr>
        <w:t xml:space="preserve"> Является необходимым стандартом для плавной многозадачности в 2026 году. Это позволяет мгновенно переключаться между ресурсоемкими приложениями без задержек.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512 ГБ SSD:</w:t>
      </w:r>
      <w:r>
        <w:rPr>
          <w:rFonts w:ascii="Times New Roman" w:hAnsi="Times New Roman"/>
          <w:sz w:val="24"/>
          <w:szCs w:val="24"/>
        </w:rPr>
        <w:t xml:space="preserve"> Обеспечивает высокую скорость обмена данными и достаточный объем для локального хранения медиатек и проектной документации без необходимости постоянного обращения к облачным сервисам.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Полная бесшумность и пассивное охлаждение</w:t>
      </w:r>
      <w:r>
        <w:rPr>
          <w:rFonts w:ascii="Times New Roman" w:hAnsi="Times New Roman"/>
          <w:sz w:val="24"/>
          <w:szCs w:val="24"/>
        </w:rPr>
        <w:t xml:space="preserve"> Несмотря на возросшую мощность, MacBook Air сохраняет </w:t>
      </w:r>
      <w:r>
        <w:rPr>
          <w:rFonts w:ascii="Times New Roman" w:hAnsi="Times New Roman"/>
          <w:b/>
          <w:sz w:val="24"/>
          <w:szCs w:val="24"/>
        </w:rPr>
        <w:t>безвентиляторную конструкцию</w:t>
      </w:r>
      <w:r>
        <w:rPr>
          <w:rFonts w:ascii="Times New Roman" w:hAnsi="Times New Roman"/>
          <w:sz w:val="24"/>
          <w:szCs w:val="24"/>
        </w:rPr>
        <w:t>. Это гарантирует нулевой уровень шумового загрязнения рабочего пространства, что является ключевым фактором для поддержания высокой концентрации специалиста.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Современные интерфейсы и мобильность</w:t>
      </w:r>
      <w:r>
        <w:rPr>
          <w:rFonts w:ascii="Times New Roman" w:hAnsi="Times New Roman"/>
          <w:sz w:val="24"/>
          <w:szCs w:val="24"/>
        </w:rPr>
        <w:t xml:space="preserve"> Поддержка </w:t>
      </w:r>
      <w:r>
        <w:rPr>
          <w:rFonts w:ascii="Times New Roman" w:hAnsi="Times New Roman"/>
          <w:b/>
          <w:sz w:val="24"/>
          <w:szCs w:val="24"/>
        </w:rPr>
        <w:t>Thunderbolt 4</w:t>
      </w:r>
      <w:r>
        <w:rPr>
          <w:rFonts w:ascii="Times New Roman" w:hAnsi="Times New Roman"/>
          <w:sz w:val="24"/>
          <w:szCs w:val="24"/>
        </w:rPr>
        <w:t xml:space="preserve"> и новейших протоколов связи (Wi-Fi 6E / Bluetooth 5.3) обеспечивает быструю интеграцию в рабочую сеть студии и подключение внешних мониторов высокого разрешения. Вес устройства (1.24 кг) и автономность до 18 часов делают его максимально мобильным инструментом для внутрикомандного взаимодействия.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Сумма: </w:t>
      </w:r>
      <w:r>
        <w:rPr>
          <w:rFonts w:ascii="Times New Roman" w:hAnsi="Times New Roman"/>
          <w:caps w:val="false"/>
          <w:smallCaps w:val="false"/>
          <w:color w:val="FFFFFF"/>
          <w:spacing w:val="0"/>
          <w:sz w:val="24"/>
          <w:szCs w:val="24"/>
          <w14:textFill>
            <w14:solidFill>
              <w14:srgbClr w14:val="FFFFFF">
                <w14:alpha w14:val="25000"/>
              </w14:srgbClr>
            </w14:solidFill>
          </w14:textFill>
        </w:rPr>
        <w:t> </w:t>
      </w:r>
      <w:r>
        <w:rPr>
          <w:rStyle w:val="Strong"/>
          <w:rFonts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≈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100 000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  <w:t>₽</w:t>
      </w:r>
    </w:p>
    <w:p>
      <w:pPr>
        <w:pStyle w:val="BodyText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Team Lead</w:t>
      </w:r>
    </w:p>
    <w:p>
      <w:pPr>
        <w:pStyle w:val="BodyText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Модель: 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Lenovo ThinkPad X1 Carbon Gen 14 </w:t>
      </w:r>
    </w:p>
    <w:p>
      <w:pPr>
        <w:pStyle w:val="BodyText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 w:val="false"/>
          <w:sz w:val="24"/>
          <w:szCs w:val="24"/>
          <w:lang w:val="ru-RU"/>
        </w:rPr>
        <w:t>1. Процессор нового поколения с поддержкой ИИ (Intel Core Ultra Series 3)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 Устройство оснащено новейшим процессором Intel Core Ultra (Series 3) с выделенным нейронным процессором (NPU). Это позволяет эффективно использовать ИИ-ассистенты для анализа кода, автоматизации отчетности и протоколирования совещаний. Мощность процессора гарантирует мгновенную работу в режиме экстремальной многозадачности 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Исключительная мобильность при высокой прочности (Carbon Fiber)</w:t>
      </w:r>
      <w:r>
        <w:rPr>
          <w:rFonts w:ascii="Times New Roman" w:hAnsi="Times New Roman"/>
          <w:sz w:val="24"/>
          <w:szCs w:val="24"/>
        </w:rPr>
        <w:t xml:space="preserve"> Корпус, выполненный из углеродного волокна, обеспечивает вес менее </w:t>
      </w:r>
      <w:r>
        <w:rPr>
          <w:rFonts w:ascii="Times New Roman" w:hAnsi="Times New Roman"/>
          <w:b/>
          <w:sz w:val="24"/>
          <w:szCs w:val="24"/>
        </w:rPr>
        <w:t>1 кг (996 г)</w:t>
      </w:r>
      <w:r>
        <w:rPr>
          <w:rFonts w:ascii="Times New Roman" w:hAnsi="Times New Roman"/>
          <w:sz w:val="24"/>
          <w:szCs w:val="24"/>
        </w:rPr>
        <w:t xml:space="preserve">. Это критически важно для тимлида, чья роль подразумевает постоянную мобильность, участие в совещаниях и кросс-департаментное взаимодействие. При этом устройство сертифицировано по военным стандартам </w:t>
      </w:r>
      <w:r>
        <w:rPr>
          <w:rFonts w:ascii="Times New Roman" w:hAnsi="Times New Roman"/>
          <w:b/>
          <w:sz w:val="24"/>
          <w:szCs w:val="24"/>
        </w:rPr>
        <w:t>MIL-STD 810H</w:t>
      </w:r>
      <w:r>
        <w:rPr>
          <w:rFonts w:ascii="Times New Roman" w:hAnsi="Times New Roman"/>
          <w:sz w:val="24"/>
          <w:szCs w:val="24"/>
        </w:rPr>
        <w:t>, что гарантирует устойчивость к механическим повреждениям и долговечность.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Профессиональный стандарт ввода и навигации</w:t>
      </w:r>
      <w:r>
        <w:rPr>
          <w:rFonts w:ascii="Times New Roman" w:hAnsi="Times New Roman"/>
          <w:sz w:val="24"/>
          <w:szCs w:val="24"/>
        </w:rPr>
        <w:t xml:space="preserve"> Клавиатура ThinkPad признана эталонной в индустрии. Она минимизирует количество опечаток и усталость рук при ведении активной переписки и техническом документировании. Наличие увеличенного тактильного тачпада и фирменного манипулятора TrackPoint позволяет эффективно управлять интерфейсом в любых условиях без необходимости подключения внешней периферии.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Экран 2.8K OLED с защитой зрения</w:t>
      </w:r>
      <w:r>
        <w:rPr>
          <w:rFonts w:ascii="Times New Roman" w:hAnsi="Times New Roman"/>
          <w:sz w:val="24"/>
          <w:szCs w:val="24"/>
        </w:rPr>
        <w:t xml:space="preserve"> 14-дюймовый OLED-дисплей с частотой обновления 120 Гц и яркостью 500 нит обеспечивает идеальную четкость текста и графиков. Технология </w:t>
      </w:r>
      <w:r>
        <w:rPr>
          <w:rFonts w:ascii="Times New Roman" w:hAnsi="Times New Roman"/>
          <w:b/>
          <w:sz w:val="24"/>
          <w:szCs w:val="24"/>
        </w:rPr>
        <w:t>Eyesafe</w:t>
      </w:r>
      <w:r>
        <w:rPr>
          <w:rFonts w:ascii="Times New Roman" w:hAnsi="Times New Roman"/>
          <w:sz w:val="24"/>
          <w:szCs w:val="24"/>
        </w:rPr>
        <w:t xml:space="preserve"> снижает интенсивность синего света, что позволяет специалисту сохранять продуктивность в течение длительного рабочего дня без вреда для зрения.</w:t>
      </w:r>
    </w:p>
    <w:p>
      <w:pPr>
        <w:pStyle w:val="Body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Интерфейсы и безопасность (Enterprise Ready)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Thunderbolt 4:</w:t>
      </w:r>
      <w:r>
        <w:rPr>
          <w:rFonts w:ascii="Times New Roman" w:hAnsi="Times New Roman"/>
          <w:sz w:val="24"/>
          <w:szCs w:val="24"/>
        </w:rPr>
        <w:t xml:space="preserve"> Позволяет подключать до двух мониторов 4K через один кабель, превращая ноутбук в полноценное стационарное рабочее место.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Безопасность:</w:t>
      </w:r>
      <w:r>
        <w:rPr>
          <w:rFonts w:ascii="Times New Roman" w:hAnsi="Times New Roman"/>
          <w:sz w:val="24"/>
          <w:szCs w:val="24"/>
        </w:rPr>
        <w:t xml:space="preserve"> Аппаратный комплекс </w:t>
      </w:r>
      <w:r>
        <w:rPr>
          <w:rFonts w:ascii="Times New Roman" w:hAnsi="Times New Roman"/>
          <w:b/>
          <w:sz w:val="24"/>
          <w:szCs w:val="24"/>
        </w:rPr>
        <w:t>ThinkShield</w:t>
      </w:r>
      <w:r>
        <w:rPr>
          <w:rFonts w:ascii="Times New Roman" w:hAnsi="Times New Roman"/>
          <w:sz w:val="24"/>
          <w:szCs w:val="24"/>
        </w:rPr>
        <w:t>, сканер отпечатков пальцев и ИК-камера с физической шторкой приватности обеспечивают защиту интеллектуальной собственности и конфиденциальность переписки.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Wi-Fi 7:</w:t>
      </w:r>
      <w:r>
        <w:rPr>
          <w:rFonts w:ascii="Times New Roman" w:hAnsi="Times New Roman"/>
          <w:sz w:val="24"/>
          <w:szCs w:val="24"/>
        </w:rPr>
        <w:t xml:space="preserve"> Поддержка новейшего стандарта связи гарантирует бесперебойную работу в условиях высокой загрузки беспроводных сетей студии.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6. Автономность и зарядка</w:t>
      </w:r>
      <w:r>
        <w:rPr>
          <w:rFonts w:ascii="Times New Roman" w:hAnsi="Times New Roman"/>
          <w:sz w:val="24"/>
          <w:szCs w:val="24"/>
        </w:rPr>
        <w:t xml:space="preserve"> Благодаря оптимизированной энергоэффективности платформы, ноутбук обеспечивает полный рабочий день автономной работы. Поддержка быстрой зарядки (Rapid Charge) позволяет восполнить заряд до 80% всего за 60 минут, что критично при плотном графике встреч</w:t>
      </w:r>
    </w:p>
    <w:p>
      <w:pPr>
        <w:pStyle w:val="BodyText"/>
        <w:rPr>
          <w:rFonts w:ascii="Arial" w:hAnsi="Arial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Сумма: </w:t>
      </w:r>
      <w:r>
        <w:rPr>
          <w:rFonts w:ascii="Times New Roman" w:hAnsi="Times New Roman"/>
          <w:caps w:val="false"/>
          <w:smallCaps w:val="false"/>
          <w:color w:val="FFFFFF"/>
          <w:spacing w:val="0"/>
          <w:sz w:val="24"/>
          <w:szCs w:val="24"/>
          <w14:textFill>
            <w14:solidFill>
              <w14:srgbClr w14:val="FFFFFF">
                <w14:alpha w14:val="25000"/>
              </w14:srgbClr>
            </w14:solidFill>
          </w14:textFill>
        </w:rPr>
        <w:t> </w:t>
      </w:r>
      <w:r>
        <w:rPr>
          <w:rStyle w:val="Strong"/>
          <w:rFonts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≈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255 990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  <w:t>₽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Heading1"/>
        <w:bidi w:val="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  <w:t xml:space="preserve">Операционная система Microsoft Windows 11 </w:t>
      </w: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pro</w:t>
      </w: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  <w:t>(4 штуки)</w:t>
      </w:r>
      <w:r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>:</w:t>
      </w:r>
    </w:p>
    <w:p>
      <w:pPr>
        <w:pStyle w:val="Heading4"/>
        <w:bidi w:val="0"/>
        <w:spacing w:lineRule="auto" w:line="276" w:before="0" w:after="140"/>
        <w:jc w:val="start"/>
        <w:rPr>
          <w:rFonts w:ascii="Times New Roman" w:hAnsi="Times New Roman"/>
          <w:i w:val="false"/>
          <w:iCs w:val="false"/>
          <w:color w:val="333333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333333"/>
          <w:sz w:val="24"/>
          <w:szCs w:val="24"/>
        </w:rPr>
        <w:t>1. Совместимость с профессиональным ПО (DAW и Движки)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>Саунд-дизайн: Почти все профессиональные плагины (VST) и программы (Ableton, FL Studio) написаны под Windows/macOS. На российских ОС (Linux) их запуск через эмуляторы приводит к задержкам звука, что недопустимо для работы.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>Геймдев: Unity и Unreal Engine работают на Windows максимально стабильно. Большинство ассетов и плагинов в магазине Unity Store заточены под Windows-разработку.</w:t>
      </w:r>
    </w:p>
    <w:p>
      <w:pPr>
        <w:pStyle w:val="Heading4"/>
        <w:bidi w:val="0"/>
        <w:spacing w:lineRule="auto" w:line="276" w:before="0" w:after="140"/>
        <w:jc w:val="start"/>
        <w:rPr>
          <w:rFonts w:ascii="Times New Roman" w:hAnsi="Times New Roman"/>
          <w:i w:val="false"/>
          <w:iCs w:val="false"/>
          <w:color w:val="333333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333333"/>
          <w:sz w:val="24"/>
          <w:szCs w:val="24"/>
        </w:rPr>
        <w:t>2. Драйверы и оборудование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>Для Tecno и других новых брендов драйверы пишутся в первую очередь под Windows 11. Всё оборудование ноутбука (тачпад, функциональные клавиши, звуковая карта) будет работать «из коробки». В Linux-системах настройка звука для саунд-дизайна может потребовать недель поиска специфических драйверов.</w:t>
      </w:r>
    </w:p>
    <w:p>
      <w:pPr>
        <w:pStyle w:val="Heading4"/>
        <w:bidi w:val="0"/>
        <w:spacing w:lineRule="auto" w:line="276" w:before="0" w:after="140"/>
        <w:jc w:val="start"/>
        <w:rPr>
          <w:rFonts w:ascii="Times New Roman" w:hAnsi="Times New Roman"/>
          <w:i w:val="false"/>
          <w:iCs w:val="false"/>
          <w:color w:val="333333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333333"/>
          <w:sz w:val="24"/>
          <w:szCs w:val="24"/>
        </w:rPr>
        <w:t>3. Стандарт индустрии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83" w:start="-57" w:end="0"/>
        <w:jc w:val="start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>Н</w:t>
      </w:r>
      <w:r>
        <w:rPr>
          <w:rFonts w:ascii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>аши 3D-моделлеры и программисты используют Windows. Обмен файлами, работа в Figma и сборка проекта в Unity пройдут без багов, связанных с разностью файловых систем или шрифтов.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Heading1"/>
        <w:bidi w:val="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Сумма: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>15 560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Times New Roman" w:hAnsi="Times New Roman"/>
          <w:b/>
          <w:bCs w:val="false"/>
          <w:i w:val="false"/>
          <w:iCs w:val="false"/>
          <w:color w:val="000000"/>
          <w:sz w:val="24"/>
          <w:szCs w:val="24"/>
        </w:rPr>
        <w:t>₽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  <w:t>аренд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  <w:t>а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  <w:t xml:space="preserve"> офиса в Красноярске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color w:val="333333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333333"/>
          <w:sz w:val="24"/>
          <w:szCs w:val="24"/>
        </w:rPr>
        <w:t>Требование: Офис минимум 30 кв. м.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color w:val="333333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333333"/>
          <w:sz w:val="24"/>
          <w:szCs w:val="24"/>
        </w:rPr>
        <w:t>Ежемесячный платеж: 30 кв. м × 850 руб. = 25 500 руб./мес. (Округлим до 30 000 руб./мес. с учетом интернета и коммуналки).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b w:val="false"/>
          <w:bCs w:val="false"/>
          <w:color w:val="333333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333333"/>
          <w:sz w:val="24"/>
          <w:szCs w:val="24"/>
        </w:rPr>
        <w:t>Итого за 5 месяцев: 30 000 руб. × 5 месяцев = 150 000 руб.</w:t>
      </w:r>
    </w:p>
    <w:p>
      <w:pPr>
        <w:pStyle w:val="Heading1"/>
        <w:bidi w:val="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Сумма: </w:t>
      </w:r>
      <w:r>
        <w:rPr>
          <w:rFonts w:ascii="Times New Roman" w:hAnsi="Times New Roman"/>
          <w:b/>
          <w:bCs w:val="false"/>
          <w:i w:val="false"/>
          <w:iCs w:val="false"/>
          <w:color w:val="333333"/>
          <w:sz w:val="24"/>
          <w:szCs w:val="24"/>
        </w:rPr>
        <w:t xml:space="preserve">150 000 </w:t>
      </w:r>
      <w:r>
        <w:rPr>
          <w:rFonts w:ascii="Times New Roman" w:hAnsi="Times New Roman"/>
          <w:b/>
          <w:bCs w:val="false"/>
          <w:i w:val="false"/>
          <w:iCs w:val="false"/>
          <w:color w:val="000000"/>
          <w:sz w:val="24"/>
          <w:szCs w:val="24"/>
        </w:rPr>
        <w:t>₽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r>
    </w:p>
    <w:tbl>
      <w:tblPr>
        <w:tblW w:w="11047" w:type="dxa"/>
        <w:jc w:val="start"/>
        <w:tblInd w:w="-51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6"/>
        <w:gridCol w:w="1942"/>
        <w:gridCol w:w="727"/>
        <w:gridCol w:w="963"/>
        <w:gridCol w:w="1768"/>
        <w:gridCol w:w="1532"/>
        <w:gridCol w:w="1642"/>
        <w:gridCol w:w="1747"/>
      </w:tblGrid>
      <w:tr>
        <w:trPr/>
        <w:tc>
          <w:tcPr>
            <w:tcW w:w="726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Ед. измерения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Цена за единицу, руб.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Источник финансирования 1, руб.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Источник финансирования 2, руб.</w:t>
            </w:r>
          </w:p>
        </w:tc>
        <w:tc>
          <w:tcPr>
            <w:tcW w:w="1747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ИТОГО, по всем источникам, руб.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Программирование игрового процесса и логики MVP 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 / работа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593,75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 (задачи на 5 мес., по 8 ч/день)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175 000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300 000</w:t>
            </w:r>
          </w:p>
        </w:tc>
        <w:tc>
          <w:tcPr>
            <w:tcW w:w="1747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475 000 (593,75х800)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Разработка и оптимизация 3D-моделей 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 / работа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531,25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 (задачи на 5 мес., по 8 ч/день)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125 000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300 000</w:t>
            </w:r>
          </w:p>
        </w:tc>
        <w:tc>
          <w:tcPr>
            <w:tcW w:w="1747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425 000 (531,25х800)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Управление проектом и ведение проектной документации 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 / работа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375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 (задачи на 5 мес., по 8 ч/день)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100 000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200 000</w:t>
            </w:r>
          </w:p>
        </w:tc>
        <w:tc>
          <w:tcPr>
            <w:tcW w:w="1747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300 000 (375х800)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Проектирование уровней и игровых механик 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 / работа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375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 (задачи на 5 мес., по 8 ч/день)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100 000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200 000</w:t>
            </w:r>
          </w:p>
        </w:tc>
        <w:tc>
          <w:tcPr>
            <w:tcW w:w="1747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300 000 (375х800)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42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ВСЕГО по смете: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500 000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6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1 000 000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1 500 000</w:t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b/>
          <w:bCs/>
          <w:i w:val="false"/>
          <w:iCs w:val="false"/>
          <w:color w:val="000000"/>
          <w:sz w:val="30"/>
          <w:szCs w:val="30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Общая сумма: </w:t>
      </w:r>
      <w:r>
        <w:rPr>
          <w:rStyle w:val="Strong"/>
          <w:rFonts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≈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  <w:r>
        <w:rPr>
          <w:rStyle w:val="Strong"/>
          <w:rFonts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2 281 500</w:t>
      </w:r>
      <w:r>
        <w:rPr>
          <w:rStyle w:val="Strong"/>
          <w:rFonts w:ascii="Times New Roman" w:hAnsi="Times New Roman"/>
          <w:b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₽</w:t>
      </w:r>
    </w:p>
    <w:p>
      <w:pPr>
        <w:pStyle w:val="Heading3"/>
        <w:bidi w:val="0"/>
        <w:spacing w:before="0" w:after="140"/>
        <w:jc w:val="start"/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  <w:t>Пояснительная записка к расчетам</w:t>
      </w:r>
    </w:p>
    <w:p>
      <w:pPr>
        <w:pStyle w:val="Style18"/>
        <w:spacing w:lineRule="auto" w:line="276" w:before="0" w:after="14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Как мы считали эту смету:</w:t>
      </w:r>
    </w:p>
    <w:p>
      <w:pPr>
        <w:pStyle w:val="Style18"/>
        <w:spacing w:lineRule="auto" w:line="276" w:before="0" w:after="14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В таблице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выше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мы расписали «идеальный» вариант: как будто у нас полноценный коммерческий проект,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закупаем железо без ограничений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, нам кто-то даёт на него деньги, мы снимаем нормальный офис в Красноярске и платим всем средние зарплаты по рынку на целых 5 месяцев (с 24 февраля по 24 июля). Но если бы этот проект запускался в реальности, мы бы спокойно могли сильно сэкономить и урезать этот бюджет почти наполовину:</w:t>
      </w:r>
    </w:p>
    <w:p>
      <w:pPr>
        <w:pStyle w:val="Style18"/>
        <w:numPr>
          <w:ilvl w:val="0"/>
          <w:numId w:val="22"/>
        </w:numPr>
        <w:spacing w:lineRule="auto" w:line="276" w:before="0" w:after="14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Работать из дома (без офиса): Нам не обязательно снимать помещение и покупать туда компьютеры. Мы спокойно можем делать игру удаленно со своих домашних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ноутов/компьютеров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. Это сразу вычёркивает из трат аренду и коммуналку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и оборудование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</w:t>
      </w:r>
    </w:p>
    <w:p>
      <w:pPr>
        <w:pStyle w:val="Style18"/>
        <w:numPr>
          <w:ilvl w:val="0"/>
          <w:numId w:val="22"/>
        </w:numPr>
        <w:spacing w:lineRule="auto" w:line="276" w:before="0" w:after="14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Снизить зарплаты на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40-45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% ради опыта: У нас в команде сейчас нет коммерческого опыта разработки игр. Для нас главное — сделать играбельное MVP, получить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опыт разработки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и научиться работать вместе. Поэтому ради реального опыта мы бы согласились получать зарплату на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40-45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% меньше, чем написано в смете.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b/>
          <w:bCs/>
          <w:i w:val="false"/>
          <w:iCs w:val="false"/>
          <w:color w:val="000000"/>
          <w:sz w:val="30"/>
          <w:szCs w:val="30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Общая сумма: </w:t>
      </w:r>
      <w:r>
        <w:rPr>
          <w:rStyle w:val="Strong"/>
          <w:rFonts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≈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  <w:r>
        <w:rPr>
          <w:rStyle w:val="Strong"/>
          <w:rFonts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675 000</w:t>
      </w:r>
      <w:r>
        <w:rPr>
          <w:rStyle w:val="Strong"/>
          <w:rFonts w:ascii="Times New Roman" w:hAnsi="Times New Roman"/>
          <w:b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₽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(с учетом выше сказанного)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user2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Блочная цитата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LibreOffice/26.2.0.3$Windows_X86_64 LibreOffice_project/620$Build-3</Application>
  <AppVersion>15.0000</AppVersion>
  <Pages>8</Pages>
  <Words>2288</Words>
  <Characters>14669</Characters>
  <CharactersWithSpaces>16780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2026-05-01T20:31:44Z</dcterms:created>
  <dc:creator/>
  <dc:description/>
  <dc:language>ru-RU</dc:language>
  <cp:lastModifiedBy/>
  <dcterms:modified xsi:type="dcterms:W3CDTF">2026-06-20T21:45:13Z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