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POLICY STATEMENT</w:t>
      </w:r>
    </w:p>
    <w:p w:rsidR="00000000" w:rsidDel="00000000" w:rsidP="00000000" w:rsidRDefault="00000000" w:rsidRPr="00000000" w14:paraId="00000002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Minto Disability Services has a duty of care to all Customers/Clients and recognises and supports our Customer/Clients’ rights to self-determination, independence and dignity. Minto Disability Services will act to ensure that Customers/Clients do not suffer harm or loss financially due to any action, or inaction by this organisation and its employees. </w:t>
      </w:r>
    </w:p>
    <w:p w:rsidR="00000000" w:rsidDel="00000000" w:rsidP="00000000" w:rsidRDefault="00000000" w:rsidRPr="00000000" w14:paraId="00000003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This purpose of this policy is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Ensure Customers/Clients and our workers understand the risks associated with workers handling Customer/Client money;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out best practice for when a Customer/Client asks us to handle their money in the course of providing home care services; and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Ensure Support Workers take appropriate steps in handling a Customer/Client’s money to help to avoid a potential disagreement or misunderstanding and to protect the Customer/Client’s interests.</w:t>
      </w:r>
    </w:p>
    <w:p w:rsidR="00000000" w:rsidDel="00000000" w:rsidP="00000000" w:rsidRDefault="00000000" w:rsidRPr="00000000" w14:paraId="00000007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This policy applies to all staff. </w:t>
      </w:r>
    </w:p>
    <w:p w:rsidR="00000000" w:rsidDel="00000000" w:rsidP="00000000" w:rsidRDefault="00000000" w:rsidRPr="00000000" w14:paraId="00000008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this policy a reference to a Customers/Client’s money includes the use of their EFTPOS or credit/debit card or Petty Cash held for the ongoing supply of the households needs and expenses. </w:t>
      </w:r>
    </w:p>
    <w:p w:rsidR="00000000" w:rsidDel="00000000" w:rsidP="00000000" w:rsidRDefault="00000000" w:rsidRPr="00000000" w14:paraId="00000009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organisation will: 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Provide training and information for all employees on their duty of care, code of conduct and professional boundaries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Assist Customers/Clients in making informed choices with regard to risk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Seek appropriate support for Customers/Clients who may not have the ability to make informed decisions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Respect Customer/Client’s rights to choose activities that could harm them, provided they understand the risks involved.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Minimise abuse or harm to Customers/Clients as a result of employee’s actions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Investigate all incidents and ensure corrective actions and plans are appropriately documented.</w:t>
      </w:r>
    </w:p>
    <w:p w:rsidR="00000000" w:rsidDel="00000000" w:rsidP="00000000" w:rsidRDefault="00000000" w:rsidRPr="00000000" w14:paraId="00000010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This document complies with NDIS 2018, standard 4.2, Safeguarding Money and Property and ACIS 2013, section 4.2 Safeguarding Money and Property This document is readily available to all Customers/Clients and employees of Minto Disability Services  including our board. </w:t>
      </w:r>
    </w:p>
    <w:p w:rsidR="00000000" w:rsidDel="00000000" w:rsidP="00000000" w:rsidRDefault="00000000" w:rsidRPr="00000000" w14:paraId="00000011">
      <w:pPr>
        <w:pStyle w:val="Heading1"/>
        <w:spacing w:after="0" w:before="240" w:line="276" w:lineRule="auto"/>
        <w:ind w:left="0"/>
        <w:jc w:val="both"/>
        <w:rPr/>
      </w:pPr>
      <w:bookmarkStart w:colFirst="0" w:colLast="0" w:name="_heading=h.6jna04mq65yc" w:id="0"/>
      <w:bookmarkEnd w:id="0"/>
      <w:r w:rsidDel="00000000" w:rsidR="00000000" w:rsidRPr="00000000">
        <w:rPr>
          <w:rtl w:val="0"/>
        </w:rPr>
        <w:t xml:space="preserve">Policy </w:t>
      </w:r>
    </w:p>
    <w:p w:rsidR="00000000" w:rsidDel="00000000" w:rsidP="00000000" w:rsidRDefault="00000000" w:rsidRPr="00000000" w14:paraId="00000012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We acknowledge the risks associated with handling a Customer/Clients money and have developed a clear framework within which we expect all workers to operate in order to minimise risk. </w:t>
      </w:r>
    </w:p>
    <w:p w:rsidR="00000000" w:rsidDel="00000000" w:rsidP="00000000" w:rsidRDefault="00000000" w:rsidRPr="00000000" w14:paraId="00000013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We respect each Customers/Client’s right to maintain their independence, including to manage their own finances independently. </w:t>
      </w:r>
    </w:p>
    <w:p w:rsidR="00000000" w:rsidDel="00000000" w:rsidP="00000000" w:rsidRDefault="00000000" w:rsidRPr="00000000" w14:paraId="00000014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We will use our best endeavours to ensure that: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a Customer/Client asks us to handle their money in the course of providing home care services we do so on a transparent basis;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an issue does arise we investigate the issue and take appropriate action. </w:t>
      </w:r>
    </w:p>
    <w:p w:rsidR="00000000" w:rsidDel="00000000" w:rsidP="00000000" w:rsidRDefault="00000000" w:rsidRPr="00000000" w14:paraId="00000017">
      <w:pPr>
        <w:pStyle w:val="Heading1"/>
        <w:spacing w:after="0" w:before="240" w:line="276" w:lineRule="auto"/>
        <w:ind w:left="0"/>
        <w:jc w:val="both"/>
        <w:rPr/>
      </w:pPr>
      <w:bookmarkStart w:colFirst="0" w:colLast="0" w:name="_heading=h.axqatdefawpw" w:id="1"/>
      <w:bookmarkEnd w:id="1"/>
      <w:r w:rsidDel="00000000" w:rsidR="00000000" w:rsidRPr="00000000">
        <w:rPr>
          <w:rtl w:val="0"/>
        </w:rPr>
        <w:t xml:space="preserve">Risks </w:t>
      </w:r>
    </w:p>
    <w:p w:rsidR="00000000" w:rsidDel="00000000" w:rsidP="00000000" w:rsidRDefault="00000000" w:rsidRPr="00000000" w14:paraId="00000018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risks associated with handling Customer/Client money fall within three broad categories: </w:t>
      </w:r>
    </w:p>
    <w:p w:rsidR="00000000" w:rsidDel="00000000" w:rsidP="00000000" w:rsidRDefault="00000000" w:rsidRPr="00000000" w14:paraId="00000019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 Misappropriation: eg where a worker uses their position to steal money from a Customer/Client. </w:t>
      </w:r>
    </w:p>
    <w:p w:rsidR="00000000" w:rsidDel="00000000" w:rsidP="00000000" w:rsidRDefault="00000000" w:rsidRPr="00000000" w14:paraId="0000001A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2. Mishandling: eg where a worker accidentally loses a Customer/Client’s money; </w:t>
      </w:r>
    </w:p>
    <w:p w:rsidR="00000000" w:rsidDel="00000000" w:rsidP="00000000" w:rsidRDefault="00000000" w:rsidRPr="00000000" w14:paraId="0000001B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3. Misunderstanding: eg where a Customer/Client (who may be living with dementia) thought they gave the worker more money than they did.</w:t>
      </w:r>
    </w:p>
    <w:p w:rsidR="00000000" w:rsidDel="00000000" w:rsidP="00000000" w:rsidRDefault="00000000" w:rsidRPr="00000000" w14:paraId="0000001C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Support Workers’ Responsibilities </w:t>
      </w:r>
    </w:p>
    <w:p w:rsidR="00000000" w:rsidDel="00000000" w:rsidP="00000000" w:rsidRDefault="00000000" w:rsidRPr="00000000" w14:paraId="0000001D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Support Worker must only handle a Customer/Client’s money to perform a task specified in the Customer/Client’s care plan or house management plan. We expect all workers to uphold the highest standards when handling Customer/Clients money.</w:t>
      </w:r>
    </w:p>
    <w:p w:rsidR="00000000" w:rsidDel="00000000" w:rsidP="00000000" w:rsidRDefault="00000000" w:rsidRPr="00000000" w14:paraId="0000001E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Support Workers must: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Respect the Customers/Client’s right where appropriate to manage their finances independently and as they see fit;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Preserve Customer/Client confidentiality in relation to money handled as well as the Customers/Client’s finances and information more generally. </w:t>
      </w:r>
    </w:p>
    <w:p w:rsidR="00000000" w:rsidDel="00000000" w:rsidP="00000000" w:rsidRDefault="00000000" w:rsidRPr="00000000" w14:paraId="00000021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Support Workers must not: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Handle client money in excess of $150.00 per transaction in cash;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Purchase anything with a Customers/Client’s money for anyone other than the Customer/Client;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Make purchases with a Customer/Client’s debit or credit card.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Receive any benefit associated with spending a Customers/Client’s money (eg using the worker’s own rewards card);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Ask for or accept any gift or loan from a Customer/Client;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Loan money to a Customer/Client; or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Offer any form of financial advice or information which may be construed as financial advice to a Customer/Client.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Engage in any gambling activity on behalf of a Customer/Client or with a Customers/Client’s money. </w:t>
      </w:r>
    </w:p>
    <w:p w:rsidR="00000000" w:rsidDel="00000000" w:rsidP="00000000" w:rsidRDefault="00000000" w:rsidRPr="00000000" w14:paraId="0000002A">
      <w:pPr>
        <w:pStyle w:val="Heading1"/>
        <w:spacing w:after="0" w:before="240" w:line="276" w:lineRule="auto"/>
        <w:ind w:left="0"/>
        <w:jc w:val="both"/>
        <w:rPr/>
      </w:pPr>
      <w:bookmarkStart w:colFirst="0" w:colLast="0" w:name="_heading=h.5k0y6i6605yq" w:id="2"/>
      <w:bookmarkEnd w:id="2"/>
      <w:r w:rsidDel="00000000" w:rsidR="00000000" w:rsidRPr="00000000">
        <w:rPr>
          <w:rtl w:val="0"/>
        </w:rPr>
        <w:t xml:space="preserve">Procedure Assessment and care planning </w:t>
      </w:r>
    </w:p>
    <w:p w:rsidR="00000000" w:rsidDel="00000000" w:rsidP="00000000" w:rsidRDefault="00000000" w:rsidRPr="00000000" w14:paraId="0000002B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a Customer/Client ask us to handle their money in the course of providing home care services, the appropriate Manager will: </w:t>
      </w:r>
    </w:p>
    <w:p w:rsidR="00000000" w:rsidDel="00000000" w:rsidP="00000000" w:rsidRDefault="00000000" w:rsidRPr="00000000" w14:paraId="0000002C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Discuss the Customer/Client’s request and determine an appropriate role for the carer to support the Customer/Client in completing the task; </w:t>
      </w:r>
    </w:p>
    <w:p w:rsidR="00000000" w:rsidDel="00000000" w:rsidP="00000000" w:rsidRDefault="00000000" w:rsidRPr="00000000" w14:paraId="0000002D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Record the Customer/Client’s request in the plan including specific instructions about the task that they would like us to perform and the role of the support worker in completing the task; </w:t>
      </w:r>
    </w:p>
    <w:p w:rsidR="00000000" w:rsidDel="00000000" w:rsidP="00000000" w:rsidRDefault="00000000" w:rsidRPr="00000000" w14:paraId="0000002E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Record the method of transaction to be conducted e.g. cash or credit/debit card. </w:t>
      </w:r>
    </w:p>
    <w:p w:rsidR="00000000" w:rsidDel="00000000" w:rsidP="00000000" w:rsidRDefault="00000000" w:rsidRPr="00000000" w14:paraId="0000002F">
      <w:pPr>
        <w:pStyle w:val="Heading1"/>
        <w:spacing w:before="240" w:line="276" w:lineRule="auto"/>
        <w:ind w:left="0"/>
        <w:jc w:val="both"/>
        <w:rPr/>
      </w:pPr>
      <w:bookmarkStart w:colFirst="0" w:colLast="0" w:name="_heading=h.nt2x0wdcij0v" w:id="3"/>
      <w:bookmarkEnd w:id="3"/>
      <w:r w:rsidDel="00000000" w:rsidR="00000000" w:rsidRPr="00000000">
        <w:rPr>
          <w:rtl w:val="0"/>
        </w:rPr>
        <w:t xml:space="preserve">Handling a client’s money </w:t>
      </w:r>
    </w:p>
    <w:p w:rsidR="00000000" w:rsidDel="00000000" w:rsidP="00000000" w:rsidRDefault="00000000" w:rsidRPr="00000000" w14:paraId="00000030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When handling a client’s money, the support worker must ensure they: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Comply with this policy and the client’s directions as recorded in the care plan;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Complete the Handling Client Money Form and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Make reasonable steps to safeguard the Customer/Client’s money from loss or theft. </w:t>
      </w:r>
    </w:p>
    <w:p w:rsidR="00000000" w:rsidDel="00000000" w:rsidP="00000000" w:rsidRDefault="00000000" w:rsidRPr="00000000" w14:paraId="00000034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Cash is the preferred method of payment. Use of a client’s EFTPOS or credit/debit card on their behalf using either a PIN or “tap and go” should be a last resort due to the increased risk of misuse or misunderstanding. </w:t>
      </w:r>
    </w:p>
    <w:p w:rsidR="00000000" w:rsidDel="00000000" w:rsidP="00000000" w:rsidRDefault="00000000" w:rsidRPr="00000000" w14:paraId="00000035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a Customer/Client asks a client to use their EFTPOS or credit/debit card on their behalf, the support worker must ensure that they: 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24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Inform the Customer/Client that our preferred method of payment is cash due to the increased risks associated with use of an EFTPOS or credit/debit card and that by proceeding with this payment method, the client is acknowledging this risk and is encouraged to change their PIN frequently; 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Record the Customers/Client’s instructions in their progress notes, including the method of payment the client wants the worker to use (eg PIN or “tap and go”); 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Must explain the risks to the Customer/Client of that method and record their acknowledgement of the risks;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Do not withdraw more than the Customer/Client has expressly instructed;</w:t>
      </w:r>
    </w:p>
    <w:p w:rsidR="00000000" w:rsidDel="00000000" w:rsidP="00000000" w:rsidRDefault="00000000" w:rsidRPr="00000000" w14:paraId="0000003A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After each transaction the support worker must: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Return any unspent money and the Customer/Client’s EFTPOS or credit/debit card as soon as practicable;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Record the following details of each transaction in the appropriate place: Name of worker handling the money; Date; Amount received, spent and leftover; and The purpose of the transaction undertaken on behalf of the Customer/Client. The worker must obtain a receipt for each transaction and check the receipt for any errors or other concerns which must be reported to the Manager before the end of the worker’s shift; and keep a record of the receipt in the their file (if necessary the receipt must be scanned and stored electronically). </w:t>
      </w:r>
    </w:p>
    <w:p w:rsidR="00000000" w:rsidDel="00000000" w:rsidP="00000000" w:rsidRDefault="00000000" w:rsidRPr="00000000" w14:paraId="0000003D">
      <w:pPr>
        <w:pStyle w:val="Heading1"/>
        <w:spacing w:after="0" w:before="240" w:line="276" w:lineRule="auto"/>
        <w:ind w:left="0"/>
        <w:jc w:val="both"/>
        <w:rPr/>
      </w:pPr>
      <w:bookmarkStart w:colFirst="0" w:colLast="0" w:name="_heading=h.aq9rfzn6kg5u" w:id="4"/>
      <w:bookmarkEnd w:id="4"/>
      <w:r w:rsidDel="00000000" w:rsidR="00000000" w:rsidRPr="00000000">
        <w:rPr>
          <w:rtl w:val="0"/>
        </w:rPr>
        <w:t xml:space="preserve">Reporting concerns </w:t>
      </w:r>
    </w:p>
    <w:p w:rsidR="00000000" w:rsidDel="00000000" w:rsidP="00000000" w:rsidRDefault="00000000" w:rsidRPr="00000000" w14:paraId="0000003E">
      <w:pPr>
        <w:spacing w:after="0" w:before="240" w:line="276" w:lineRule="auto"/>
        <w:ind w:left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Workers must immediately notify the Manager if they have any concerns relating to the Customers/Client’s money or finances including any concerns: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That the Customer/Client may be being taken advantage of or defrauded by a third party;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That the Customer/Client may have lost or misplaced money or valuables;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About any allegations of misconduct by a support worker; 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About the Customer/Client’s ability to manage their finances.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before="0" w:beforeAutospacing="0" w:line="276" w:lineRule="auto"/>
        <w:ind w:left="72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If the Manager receives notice of any concerns from a Customer/Client, a worker or develops their own concerns they should, as appropriate: investigate the concerns; discuss the concerns with the Customer/Client or representative; where we have the authority to do so, discuss the concerns with their next of kin; where necessary, contact the Office of the Public Guardian / Public Trustee for assistance and/or make an application to the Administrative Tribunal seeking an order that an administrator be appointed to manage their finances; where necessary, report the matter to the Police for investigation.</w:t>
      </w:r>
    </w:p>
    <w:p w:rsidR="00000000" w:rsidDel="00000000" w:rsidP="00000000" w:rsidRDefault="00000000" w:rsidRPr="00000000" w14:paraId="00000044">
      <w:pPr>
        <w:spacing w:after="0" w:before="240" w:line="276" w:lineRule="auto"/>
        <w:ind w:lef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080" w:right="1080" w:header="7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350.0" w:type="dxa"/>
      <w:jc w:val="left"/>
      <w:tblInd w:w="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color w:val="292929"/>
              <w:rtl w:val="0"/>
            </w:rPr>
            <w:t xml:space="preserve">CLIENT MONEY POLICY 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2594300" y="3666650"/>
                          <a:chExt cx="5503400" cy="226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94300" y="3666650"/>
                            <a:ext cx="5503400" cy="22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594311" y="3666653"/>
                            <a:ext cx="5503378" cy="226695"/>
                            <a:chOff x="1181100" y="-9525"/>
                            <a:chExt cx="9329688" cy="43815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1181100" y="-9525"/>
                              <a:ext cx="9329675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181100" y="-9525"/>
                              <a:ext cx="5943600" cy="438150"/>
                            </a:xfrm>
                            <a:custGeom>
                              <a:rect b="b" l="l" r="r" t="t"/>
                              <a:pathLst>
                                <a:path extrusionOk="0" h="457200" w="5257800">
                                  <a:moveTo>
                                    <a:pt x="0" y="457200"/>
                                  </a:moveTo>
                                  <a:lnTo>
                                    <a:pt x="457860" y="0"/>
                                  </a:lnTo>
                                  <a:lnTo>
                                    <a:pt x="5257800" y="0"/>
                                  </a:lnTo>
                                  <a:lnTo>
                                    <a:pt x="4810592" y="457200"/>
                                  </a:lnTo>
                                  <a:lnTo>
                                    <a:pt x="0" y="4572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3"/>
                                </a:gs>
                                <a:gs pos="52999">
                                  <a:srgbClr val="858585"/>
                                </a:gs>
                                <a:gs pos="100000">
                                  <a:srgbClr val="A9A9A9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390148" y="-9525"/>
                              <a:ext cx="5120640" cy="438150"/>
                            </a:xfrm>
                            <a:custGeom>
                              <a:rect b="b" l="l" r="r" t="t"/>
                              <a:pathLst>
                                <a:path extrusionOk="0" h="457200" w="5257800">
                                  <a:moveTo>
                                    <a:pt x="0" y="457200"/>
                                  </a:moveTo>
                                  <a:lnTo>
                                    <a:pt x="457860" y="0"/>
                                  </a:lnTo>
                                  <a:lnTo>
                                    <a:pt x="5257800" y="0"/>
                                  </a:lnTo>
                                  <a:lnTo>
                                    <a:pt x="5143500" y="457200"/>
                                  </a:lnTo>
                                  <a:lnTo>
                                    <a:pt x="0" y="4572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3"/>
                                </a:gs>
                                <a:gs pos="52999">
                                  <a:srgbClr val="858585"/>
                                </a:gs>
                                <a:gs pos="100000">
                                  <a:srgbClr val="A9A9A9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215900</wp:posOffset>
              </wp:positionV>
              <wp:extent cx="5503378" cy="226695"/>
              <wp:effectExtent b="0" l="0" r="0" t="0"/>
              <wp:wrapNone/>
              <wp:docPr id="3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50.0" w:type="dxa"/>
      <w:jc w:val="left"/>
      <w:tblInd w:w="37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16"/>
      <w:gridCol w:w="3117"/>
      <w:gridCol w:w="3117"/>
      <w:tblGridChange w:id="0">
        <w:tblGrid>
          <w:gridCol w:w="3116"/>
          <w:gridCol w:w="3117"/>
          <w:gridCol w:w="311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Cash Card Clause</w:t>
          </w:r>
        </w:p>
      </w:tc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color w:val="292929"/>
              <w:rtl w:val="0"/>
            </w:rPr>
            <w:t xml:space="preserve">Minto Disability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Rev.1, &lt;date&gt;</w:t>
          </w:r>
        </w:p>
      </w:tc>
      <w:tc>
        <w:tcPr/>
        <w:p w:rsidR="00000000" w:rsidDel="00000000" w:rsidP="00000000" w:rsidRDefault="00000000" w:rsidRPr="00000000" w14:paraId="0000005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60" w:before="60" w:line="268" w:lineRule="auto"/>
            <w:ind w:left="10" w:right="0" w:hanging="1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292929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3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94300" y="3666650"/>
                        <a:ext cx="5503378" cy="226695"/>
                        <a:chOff x="2594300" y="3666650"/>
                        <a:chExt cx="5503400" cy="226700"/>
                      </a:xfrm>
                    </wpg:grpSpPr>
                    <wpg:grpSp>
                      <wpg:cNvGrpSpPr/>
                      <wpg:grpSpPr>
                        <a:xfrm>
                          <a:off x="2594311" y="3666653"/>
                          <a:ext cx="5503378" cy="226695"/>
                          <a:chOff x="2594300" y="3666650"/>
                          <a:chExt cx="5503400" cy="226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94300" y="3666650"/>
                            <a:ext cx="5503400" cy="22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594311" y="3666653"/>
                            <a:ext cx="5503378" cy="226695"/>
                            <a:chOff x="1181100" y="-9525"/>
                            <a:chExt cx="9329688" cy="4381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181100" y="-9525"/>
                              <a:ext cx="9329675" cy="43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181100" y="-9525"/>
                              <a:ext cx="5943600" cy="438150"/>
                            </a:xfrm>
                            <a:custGeom>
                              <a:rect b="b" l="l" r="r" t="t"/>
                              <a:pathLst>
                                <a:path extrusionOk="0" h="457200" w="5257800">
                                  <a:moveTo>
                                    <a:pt x="0" y="457200"/>
                                  </a:moveTo>
                                  <a:lnTo>
                                    <a:pt x="457860" y="0"/>
                                  </a:lnTo>
                                  <a:lnTo>
                                    <a:pt x="5257800" y="0"/>
                                  </a:lnTo>
                                  <a:lnTo>
                                    <a:pt x="4810592" y="457200"/>
                                  </a:lnTo>
                                  <a:lnTo>
                                    <a:pt x="0" y="4572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3"/>
                                </a:gs>
                                <a:gs pos="52999">
                                  <a:srgbClr val="858585"/>
                                </a:gs>
                                <a:gs pos="100000">
                                  <a:srgbClr val="A9A9A9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390148" y="-9525"/>
                              <a:ext cx="5120640" cy="438150"/>
                            </a:xfrm>
                            <a:custGeom>
                              <a:rect b="b" l="l" r="r" t="t"/>
                              <a:pathLst>
                                <a:path extrusionOk="0" h="457200" w="5257800">
                                  <a:moveTo>
                                    <a:pt x="0" y="457200"/>
                                  </a:moveTo>
                                  <a:lnTo>
                                    <a:pt x="457860" y="0"/>
                                  </a:lnTo>
                                  <a:lnTo>
                                    <a:pt x="5257800" y="0"/>
                                  </a:lnTo>
                                  <a:lnTo>
                                    <a:pt x="5143500" y="457200"/>
                                  </a:lnTo>
                                  <a:lnTo>
                                    <a:pt x="0" y="4572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3"/>
                                </a:gs>
                                <a:gs pos="52999">
                                  <a:srgbClr val="858585"/>
                                </a:gs>
                                <a:gs pos="100000">
                                  <a:srgbClr val="A9A9A9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1816100</wp:posOffset>
              </wp:positionH>
              <wp:positionV relativeFrom="paragraph">
                <wp:posOffset>241300</wp:posOffset>
              </wp:positionV>
              <wp:extent cx="5503378" cy="226695"/>
              <wp:effectExtent b="0" l="0" r="0" t="0"/>
              <wp:wrapNone/>
              <wp:docPr id="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3378" cy="2266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5086350</wp:posOffset>
          </wp:positionH>
          <wp:positionV relativeFrom="paragraph">
            <wp:posOffset>-280137</wp:posOffset>
          </wp:positionV>
          <wp:extent cx="1614488" cy="752475"/>
          <wp:effectExtent b="0" l="0" r="0" t="0"/>
          <wp:wrapNone/>
          <wp:docPr id="3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4488" cy="752475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10180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017"/>
      <w:gridCol w:w="4163"/>
      <w:tblGridChange w:id="0">
        <w:tblGrid>
          <w:gridCol w:w="6017"/>
          <w:gridCol w:w="4163"/>
        </w:tblGrid>
      </w:tblGridChange>
    </w:tblGrid>
    <w:tr>
      <w:trPr>
        <w:cantSplit w:val="0"/>
        <w:trHeight w:val="311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left"/>
            <w:rPr>
              <w:rFonts w:ascii="Verdana" w:cs="Verdana" w:eastAsia="Verdana" w:hAnsi="Verdana"/>
              <w:b w:val="1"/>
              <w:sz w:val="36"/>
              <w:szCs w:val="36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36"/>
              <w:szCs w:val="36"/>
              <w:rtl w:val="0"/>
            </w:rPr>
            <w:t xml:space="preserve">CLIENT MONEY POLICY</w:t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left"/>
            <w:rPr>
              <w:rFonts w:ascii="Verdana" w:cs="Verdana" w:eastAsia="Verdana" w:hAnsi="Verdana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0.0" w:type="dxa"/>
      <w:jc w:val="left"/>
      <w:tblInd w:w="37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5949"/>
      <w:gridCol w:w="3401"/>
      <w:tblGridChange w:id="0">
        <w:tblGrid>
          <w:gridCol w:w="5949"/>
          <w:gridCol w:w="340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CASH CARD CLAUSE</w:t>
          </w:r>
        </w:p>
      </w:tc>
      <w:tc>
        <w:tcPr/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68" w:lineRule="auto"/>
            <w:ind w:left="10" w:right="0" w:hanging="10"/>
            <w:jc w:val="righ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&lt;logo&gt;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68" w:lineRule="auto"/>
      <w:ind w:left="10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83" w:line="268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lineRule="auto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Verdana" w:cs="Verdana" w:eastAsia="Verdana" w:hAnsi="Verdana"/>
      <w:color w:val="14141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720" w:lineRule="auto"/>
    </w:pPr>
    <w:rPr>
      <w:smallCaps w:val="1"/>
      <w:color w:val="292929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80" w:lineRule="auto"/>
    </w:pPr>
    <w:rPr>
      <w:rFonts w:ascii="Verdana" w:cs="Verdana" w:eastAsia="Verdana" w:hAnsi="Verdana"/>
      <w:b w:val="1"/>
      <w:smallCaps w:val="1"/>
      <w:color w:val="000000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Verdana" w:cs="Verdana" w:eastAsia="Verdana" w:hAnsi="Verdana"/>
      <w:color w:val="29292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Verdana" w:cs="Verdana" w:eastAsia="Verdana" w:hAnsi="Verdana"/>
      <w:color w:val="14141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before="720" w:lineRule="auto"/>
    </w:pPr>
    <w:rPr>
      <w:smallCaps w:val="1"/>
      <w:color w:val="292929"/>
      <w:sz w:val="52"/>
      <w:szCs w:val="52"/>
    </w:rPr>
  </w:style>
  <w:style w:type="paragraph" w:styleId="Normal" w:default="1">
    <w:name w:val="Normal"/>
    <w:qFormat w:val="1"/>
    <w:rsid w:val="00927265"/>
    <w:pPr>
      <w:spacing w:after="83" w:line="268" w:lineRule="auto"/>
      <w:ind w:left="10" w:hanging="10"/>
    </w:pPr>
    <w:rPr>
      <w:rFonts w:ascii="Calibri" w:cs="Calibri" w:eastAsia="Calibri" w:hAnsi="Calibri"/>
      <w:color w:val="000000"/>
      <w:lang w:eastAsia="en-AU" w:val="en-A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B5C13"/>
    <w:pPr>
      <w:keepNext w:val="1"/>
      <w:keepLines w:val="1"/>
      <w:spacing w:after="480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000000" w:themeColor="text2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50D5C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92929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50D5C"/>
    <w:pPr>
      <w:keepNext w:val="1"/>
      <w:keepLines w:val="1"/>
      <w:outlineLvl w:val="2"/>
    </w:pPr>
    <w:rPr>
      <w:rFonts w:asciiTheme="majorHAnsi" w:cstheme="majorBidi" w:eastAsiaTheme="majorEastAsia" w:hAnsiTheme="majorHAnsi"/>
      <w:noProof w:val="1"/>
      <w:color w:val="141414" w:themeColor="accent1" w:themeShade="00007F"/>
      <w:szCs w:val="24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eilagenKopie" w:customStyle="1">
    <w:name w:val="Beilagen/Kopie"/>
    <w:basedOn w:val="Normal"/>
    <w:rsid w:val="008256CB"/>
    <w:pPr>
      <w:spacing w:after="100" w:line="200" w:lineRule="atLeast"/>
    </w:pPr>
    <w:rPr>
      <w:rFonts w:ascii="Arial" w:hAnsi="Arial"/>
      <w:lang w:val="de-CH"/>
    </w:rPr>
  </w:style>
  <w:style w:type="paragraph" w:styleId="Header">
    <w:name w:val="header"/>
    <w:basedOn w:val="Normal"/>
    <w:link w:val="HeaderChar"/>
    <w:uiPriority w:val="99"/>
    <w:unhideWhenUsed w:val="1"/>
    <w:rsid w:val="00886D2E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886D2E"/>
    <w:rPr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886D2E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886D2E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35AE0"/>
    <w:pPr>
      <w:spacing w:after="200" w:before="720"/>
    </w:pPr>
    <w:rPr>
      <w:rFonts w:eastAsiaTheme="minorEastAsia"/>
      <w:caps w:val="1"/>
      <w:color w:val="292929" w:themeColor="accent1"/>
      <w:spacing w:val="10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E35AE0"/>
    <w:rPr>
      <w:rFonts w:eastAsiaTheme="minorEastAsia"/>
      <w:caps w:val="1"/>
      <w:color w:val="292929" w:themeColor="accent1"/>
      <w:spacing w:val="10"/>
      <w:kern w:val="28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AC2A38"/>
    <w:pPr>
      <w:spacing w:after="200" w:before="200" w:line="276" w:lineRule="auto"/>
    </w:pPr>
    <w:rPr>
      <w:rFonts w:eastAsiaTheme="minorEastAsia"/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uiPriority w:val="22"/>
    <w:qFormat w:val="1"/>
    <w:rsid w:val="00B00533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CB5C13"/>
    <w:rPr>
      <w:rFonts w:asciiTheme="majorHAnsi" w:cstheme="majorBidi" w:eastAsiaTheme="majorEastAsia" w:hAnsiTheme="majorHAnsi"/>
      <w:b w:val="1"/>
      <w:bCs w:val="1"/>
      <w:caps w:val="1"/>
      <w:color w:val="000000" w:themeColor="text2"/>
      <w:sz w:val="34"/>
      <w:szCs w:val="34"/>
    </w:rPr>
  </w:style>
  <w:style w:type="character" w:styleId="Heading2Char" w:customStyle="1">
    <w:name w:val="Heading 2 Char"/>
    <w:basedOn w:val="DefaultParagraphFont"/>
    <w:link w:val="Heading2"/>
    <w:uiPriority w:val="9"/>
    <w:rsid w:val="00D50D5C"/>
    <w:rPr>
      <w:rFonts w:asciiTheme="majorHAnsi" w:cstheme="majorBidi" w:eastAsiaTheme="majorEastAsia" w:hAnsiTheme="majorHAnsi"/>
      <w:color w:val="292929" w:themeColor="accent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50D5C"/>
    <w:rPr>
      <w:rFonts w:asciiTheme="majorHAnsi" w:cstheme="majorBidi" w:eastAsiaTheme="majorEastAsia" w:hAnsiTheme="majorHAnsi"/>
      <w:noProof w:val="1"/>
      <w:color w:val="141414" w:themeColor="accent1" w:themeShade="00007F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50D5C"/>
    <w:pPr>
      <w:spacing w:after="0" w:before="240" w:line="259" w:lineRule="auto"/>
      <w:outlineLvl w:val="9"/>
    </w:pPr>
    <w:rPr>
      <w:b w:val="0"/>
      <w:bCs w:val="0"/>
      <w:caps w:val="0"/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50D5C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D50D5C"/>
    <w:pPr>
      <w:spacing w:after="100"/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D50D5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 w:val="1"/>
    <w:rsid w:val="00D50D5C"/>
    <w:rPr>
      <w:color w:val="5f5f5f" w:themeColor="hyperlink"/>
      <w:u w:val="single"/>
    </w:rPr>
  </w:style>
  <w:style w:type="table" w:styleId="Fazmantable" w:customStyle="1">
    <w:name w:val="Fazman table"/>
    <w:basedOn w:val="TableGridLight"/>
    <w:uiPriority w:val="99"/>
    <w:rsid w:val="00276A67"/>
    <w:rPr>
      <w:color w:val="000000" w:themeColor="text1"/>
      <w:sz w:val="20"/>
      <w:szCs w:val="20"/>
      <w:lang w:eastAsia="en-GB" w:val="en-AU"/>
    </w:rPr>
    <w:tblPr>
      <w:tblStyleRow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pPr>
        <w:jc w:val="center"/>
      </w:pPr>
      <w:rPr>
        <w:rFonts w:asciiTheme="minorHAnsi" w:hAnsiTheme="minorHAnsi"/>
        <w:b w:val="0"/>
        <w:bCs w:val="1"/>
        <w:color w:val="ffffff" w:themeColor="background1"/>
        <w:sz w:val="20"/>
      </w:rPr>
      <w:tblPr/>
      <w:tcPr>
        <w:tcBorders>
          <w:bottom w:color="7e7e7e" w:space="0" w:sz="12" w:themeColor="accent1" w:themeTint="000099" w:val="single"/>
        </w:tcBorders>
        <w:shd w:color="auto" w:fill="000000" w:themeFill="text2" w:val="clear"/>
        <w:vAlign w:val="cente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7e7e7e" w:space="0" w:sz="2" w:themeColor="accent1" w:themeTint="000099" w:val="doub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1"/>
      </w:r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shd w:color="auto" w:fill="ffffff" w:themeFill="background1" w:val="clear"/>
      </w:tcPr>
    </w:tblStylePr>
    <w:tblStylePr w:type="band2Horz">
      <w:pPr>
        <w:jc w:val="left"/>
      </w:pPr>
      <w:rPr>
        <w:rFonts w:asciiTheme="minorHAnsi" w:hAnsiTheme="minorHAnsi"/>
        <w:b w:val="0"/>
        <w:color w:val="000000" w:themeColor="text1"/>
        <w:sz w:val="20"/>
      </w:rPr>
      <w:tblPr/>
      <w:tcPr>
        <w:shd w:color="auto" w:fill="cccccc" w:themeFill="text2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593301"/>
    <w:pPr>
      <w:spacing w:after="0" w:line="240" w:lineRule="auto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0D3844"/>
    <w:pPr>
      <w:spacing w:after="120" w:before="120" w:line="240" w:lineRule="auto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593301"/>
    <w:pPr>
      <w:spacing w:after="120" w:before="120" w:line="240" w:lineRule="auto"/>
      <w:jc w:val="both"/>
    </w:pPr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GridLight">
    <w:name w:val="Grid Table Light"/>
    <w:basedOn w:val="TableNormal"/>
    <w:uiPriority w:val="40"/>
    <w:rsid w:val="0059330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ListParagraph">
    <w:name w:val="List Paragraph"/>
    <w:aliases w:val="List Paragraph1,List Paragraph11"/>
    <w:basedOn w:val="Normal"/>
    <w:link w:val="ListParagraphChar"/>
    <w:uiPriority w:val="34"/>
    <w:qFormat w:val="1"/>
    <w:rsid w:val="00927265"/>
    <w:pPr>
      <w:ind w:left="720"/>
      <w:contextualSpacing w:val="1"/>
    </w:pPr>
  </w:style>
  <w:style w:type="character" w:styleId="ListParagraphChar" w:customStyle="1">
    <w:name w:val="List Paragraph Char"/>
    <w:aliases w:val="List Paragraph1 Char,List Paragraph11 Char"/>
    <w:link w:val="ListParagraph"/>
    <w:uiPriority w:val="34"/>
    <w:rsid w:val="00927265"/>
    <w:rPr>
      <w:rFonts w:ascii="Calibri" w:cs="Calibri" w:eastAsia="Calibri" w:hAnsi="Calibri"/>
      <w:color w:val="000000"/>
      <w:lang w:eastAsia="en-AU"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3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4">
    <w:basedOn w:val="TableNormal"/>
    <w:pPr>
      <w:spacing w:after="120" w:before="120" w:line="240" w:lineRule="auto"/>
      <w:jc w:val="both"/>
    </w:pPr>
    <w:rPr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aster doc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292929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zman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pliVz9Kq8Q4qCicBLVzHlhL3Wg==">CgMxLjAyDmguNmpuYTA0bXE2NXljMg5oLmF4cWF0ZGVmYXdwdzIOaC41azB5Nmk2NjA1eXEyDmgubnQyeDB3ZGNpajB2Mg5oLmFxOXJmem42a2c1dTgAciExMWlNMUZIWmVaRkVOVi1HT2RkMDd3ZU0wdE82RlF1Qm8=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2021-06-26T07:16:00Z</dcterms:created>
  <dc:creator>mian latif</dc:creator>
</cp:coreProperties>
</file>