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EVACUATION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Upon hearing the alarm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 when the situation requires the participant to leave the premises.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Prepare to evacuate.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Get your environment ready to be left unattended. Shut down computers; turn off gas and electrical equipment, if safe to do so.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 fire, close the doors as you go –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do not lock them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In the case of a bomb threat, leave doors open.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Assist participant in immediate danger.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Leave the building via the nearest safe route.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Obey all directions from emergency services.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Move calmly to the assembly point </w:t>
      </w:r>
      <w:r w:rsidDel="00000000" w:rsidR="00000000" w:rsidRPr="00000000">
        <w:rPr>
          <w:rtl w:val="0"/>
        </w:rPr>
        <w:t xml:space="preserve">or other advised area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and stay there until the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All Clear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has been given.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Follow closely the instructions of emergency services personnel and campus wardens.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Wait for the OK to re-enter the building.</w:t>
      </w:r>
    </w:p>
    <w:p w:rsidR="00000000" w:rsidDel="00000000" w:rsidP="00000000" w:rsidRDefault="00000000" w:rsidRPr="00000000" w14:paraId="0000000C">
      <w:pPr>
        <w:pStyle w:val="Heading2"/>
        <w:rPr>
          <w:rFonts w:ascii="Verdana" w:cs="Verdana" w:eastAsia="Verdana" w:hAnsi="Verdana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FIRE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Ring </w:t>
      </w:r>
      <w:r w:rsidDel="00000000" w:rsidR="00000000" w:rsidRPr="00000000">
        <w:rPr>
          <w:rFonts w:ascii="Verdana" w:cs="Verdana" w:eastAsia="Verdana" w:hAnsi="Verdana"/>
          <w:color w:val="ff0000"/>
          <w:sz w:val="32"/>
          <w:szCs w:val="32"/>
          <w:rtl w:val="0"/>
        </w:rPr>
        <w:t xml:space="preserve">000 and provide details of the fire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then ring</w:t>
      </w:r>
      <w:r w:rsidDel="00000000" w:rsidR="00000000" w:rsidRPr="00000000">
        <w:rPr>
          <w:rFonts w:ascii="Verdana" w:cs="Verdana" w:eastAsia="Verdana" w:hAnsi="Verdana"/>
          <w:color w:val="292929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32"/>
          <w:szCs w:val="32"/>
          <w:rtl w:val="0"/>
        </w:rPr>
        <w:t xml:space="preserve">supervisor</w:t>
      </w:r>
      <w:r w:rsidDel="00000000" w:rsidR="00000000" w:rsidRPr="00000000">
        <w:rPr>
          <w:rFonts w:ascii="Verdana" w:cs="Verdana" w:eastAsia="Verdana" w:hAnsi="Verdana"/>
          <w:color w:val="292929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Assist any person in immediate danger (only if safe to do so).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safe to do so, close doors to minimise spread of the fire.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Attack the fire only if safe to do so.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Contact nearest warden and follow their directions (if applicable).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Assist with the evacuation of mobility impaired occupants.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Move to the evacuation location in plan and stay there until the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All Clear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has been given.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Follow closely the instructions of emergency services personnel and campus wardens.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MEDICAL EMERGENCY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Assess the situation: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Do not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move a participant unless they are exposed to a life-threatening situation.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extreme emergency situations contact the ambulance service by dialling</w:t>
      </w:r>
      <w:r w:rsidDel="00000000" w:rsidR="00000000" w:rsidRPr="00000000">
        <w:rPr>
          <w:rFonts w:ascii="Verdana" w:cs="Verdana" w:eastAsia="Verdana" w:hAnsi="Verdana"/>
          <w:color w:val="292929"/>
          <w:sz w:val="32"/>
          <w:szCs w:val="32"/>
          <w:rtl w:val="0"/>
        </w:rPr>
        <w:t xml:space="preserve"> 000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then ring supervisor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Arrange for the ambulance to be met or meet the ambulance if alone.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Remain with the participant and administer first aid as appropriate until assistance arrives.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Follow closely the instructions of emergency services personnel. </w:t>
      </w:r>
    </w:p>
    <w:p w:rsidR="00000000" w:rsidDel="00000000" w:rsidP="00000000" w:rsidRDefault="00000000" w:rsidRPr="00000000" w14:paraId="0000001E">
      <w:pPr>
        <w:ind w:left="284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CIVIL DISTURBANCE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Keep well clear of the disturbance and do not say or do anything that may encourage irrational behaviour.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Consider” locking down” the building to prevent unauthorised entry.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Follow closely the instructions of emergency services personnel and campus wardens.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Evacuate the building only if instructed to do so by emergency services personnel or campus wardens.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EXTREME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Keep well participant informed of situation.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Move around premises and turn off electrical appliances to ensure safety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Follow closely the instructions of emergency services personnel 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Evacuate the building only if instructed to do so by emergency services personnel.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line="276" w:lineRule="auto"/>
        <w:ind w:left="284" w:hanging="28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Keep in contact with Supervisor and follow their instructions.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PERSONAL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line="276" w:lineRule="auto"/>
        <w:ind w:left="284" w:hanging="14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Know the location of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emergency exits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your building.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line="276" w:lineRule="auto"/>
        <w:ind w:left="284" w:hanging="14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Plan an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escape route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from the premises to safe environment.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line="276" w:lineRule="auto"/>
        <w:ind w:left="284" w:hanging="14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Familiarise yourself with the location of any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break glass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fire alarms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line="276" w:lineRule="auto"/>
        <w:ind w:left="284" w:hanging="14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Note the location of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fire extinguishers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line="276" w:lineRule="auto"/>
        <w:ind w:left="284" w:hanging="14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Familiarise yourself with the identity and location of the first aid kits.</w:t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FIRST AID KIT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6571" w:tblpY="746"/>
        <w:tblW w:w="420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208"/>
        <w:tblGridChange w:id="0">
          <w:tblGrid>
            <w:gridCol w:w="4208"/>
          </w:tblGrid>
        </w:tblGridChange>
      </w:tblGrid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Assembly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 the event of fire -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 the event of flood 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 the event of a chemical spill </w:t>
            </w:r>
            <w:r w:rsidDel="00000000" w:rsidR="00000000" w:rsidRPr="00000000">
              <w:rPr>
                <w:rFonts w:ascii="Verdana" w:cs="Verdana" w:eastAsia="Verdana" w:hAnsi="Verdana"/>
                <w:smallCaps w:val="1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OR follow the instructions of supervisor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First Aid Kit is located in the following areas: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1E0"/>
      </w:tblPr>
      <w:tblGrid>
        <w:gridCol w:w="4536"/>
        <w:tblGridChange w:id="0">
          <w:tblGrid>
            <w:gridCol w:w="4536"/>
          </w:tblGrid>
        </w:tblGridChange>
      </w:tblGrid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rtl w:val="0"/>
              </w:rPr>
              <w:t xml:space="preserve">Location / Vehicle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540"/>
          <w:tab w:val="left" w:leader="none" w:pos="2160"/>
          <w:tab w:val="left" w:leader="none" w:pos="4680"/>
        </w:tabs>
        <w:jc w:val="center"/>
        <w:rPr>
          <w:rFonts w:ascii="Verdana" w:cs="Verdana" w:eastAsia="Verdana" w:hAnsi="Verdan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40"/>
          <w:tab w:val="left" w:leader="none" w:pos="2160"/>
          <w:tab w:val="left" w:leader="none" w:pos="4680"/>
        </w:tabs>
        <w:jc w:val="center"/>
        <w:rPr>
          <w:rFonts w:ascii="Verdana" w:cs="Verdana" w:eastAsia="Verdana" w:hAnsi="Verdan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40"/>
          <w:tab w:val="left" w:leader="none" w:pos="2160"/>
          <w:tab w:val="left" w:leader="none" w:pos="4680"/>
        </w:tabs>
        <w:jc w:val="center"/>
        <w:rPr>
          <w:rFonts w:ascii="Verdana" w:cs="Verdana" w:eastAsia="Verdana" w:hAnsi="Verdan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40"/>
          <w:tab w:val="left" w:leader="none" w:pos="2160"/>
          <w:tab w:val="left" w:leader="none" w:pos="4680"/>
        </w:tabs>
        <w:jc w:val="center"/>
        <w:rPr>
          <w:rFonts w:ascii="Verdana" w:cs="Verdana" w:eastAsia="Verdana" w:hAnsi="Verdan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40"/>
          <w:tab w:val="left" w:leader="none" w:pos="2160"/>
          <w:tab w:val="left" w:leader="none" w:pos="4680"/>
        </w:tabs>
        <w:jc w:val="center"/>
        <w:rPr>
          <w:rFonts w:ascii="Verdana" w:cs="Verdana" w:eastAsia="Verdana" w:hAnsi="Verdan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40"/>
          <w:tab w:val="left" w:leader="none" w:pos="2160"/>
          <w:tab w:val="left" w:leader="none" w:pos="4680"/>
        </w:tabs>
        <w:jc w:val="center"/>
        <w:rPr>
          <w:rFonts w:ascii="Verdana" w:cs="Verdana" w:eastAsia="Verdana" w:hAnsi="Verdan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40"/>
          <w:tab w:val="left" w:leader="none" w:pos="2160"/>
          <w:tab w:val="left" w:leader="none" w:pos="4680"/>
        </w:tabs>
        <w:jc w:val="center"/>
        <w:rPr>
          <w:rFonts w:ascii="Verdana" w:cs="Verdana" w:eastAsia="Verdana" w:hAnsi="Verdana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75"/>
        <w:tblW w:w="509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723"/>
        <w:gridCol w:w="3375"/>
        <w:tblGridChange w:id="0">
          <w:tblGrid>
            <w:gridCol w:w="1723"/>
            <w:gridCol w:w="3375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Participant Emergency 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Contact 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Contact 2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Individual Needs as per Support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Physical 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Emotional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0"/>
        <w:gridCol w:w="2490"/>
        <w:tblGridChange w:id="0">
          <w:tblGrid>
            <w:gridCol w:w="2490"/>
            <w:gridCol w:w="24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Emergency Services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Ambulance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Poison Emergency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13 11 26.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***Personal safety is the most important factor in an emergency.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Employee Handbook </w:t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sz w:val="22"/>
              <w:szCs w:val="22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832"/>
      <w:tblGridChange w:id="0">
        <w:tblGrid>
          <w:gridCol w:w="3116"/>
          <w:gridCol w:w="3117"/>
          <w:gridCol w:w="383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Emergency Plan Form </w:t>
          </w:r>
        </w:p>
      </w:tc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sz w:val="22"/>
              <w:szCs w:val="22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5429250</wp:posOffset>
          </wp:positionH>
          <wp:positionV relativeFrom="paragraph">
            <wp:posOffset>-136825</wp:posOffset>
          </wp:positionV>
          <wp:extent cx="1614488" cy="752475"/>
          <wp:effectExtent b="0" l="0" r="0" t="0"/>
          <wp:wrapNone/>
          <wp:docPr id="3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14465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258"/>
      <w:gridCol w:w="4258"/>
      <w:tblGridChange w:id="0">
        <w:tblGrid>
          <w:gridCol w:w="5949"/>
          <w:gridCol w:w="4258"/>
          <w:gridCol w:w="425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5">
          <w:pPr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Emergency Plan Form</w:t>
          </w:r>
        </w:p>
        <w:p w:rsidR="00000000" w:rsidDel="00000000" w:rsidP="00000000" w:rsidRDefault="00000000" w:rsidRPr="00000000" w14:paraId="00000066">
          <w:pPr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-208829</wp:posOffset>
                </wp:positionH>
                <wp:positionV relativeFrom="paragraph">
                  <wp:posOffset>-157422</wp:posOffset>
                </wp:positionV>
                <wp:extent cx="529376" cy="450376"/>
                <wp:effectExtent b="0" l="0" r="0" t="0"/>
                <wp:wrapNone/>
                <wp:docPr descr="A picture containing text&#10;&#10;Description automatically generated" id="36" name="image1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6" cy="450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EMERGENCY PLAN FORM</w:t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0"/>
      <w:numFmt w:val="bullet"/>
      <w:lvlText w:val="●"/>
      <w:lvlJc w:val="left"/>
      <w:pPr>
        <w:ind w:left="397" w:hanging="397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83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1B7D85"/>
    <w:pPr>
      <w:spacing w:after="83" w:line="268" w:lineRule="auto"/>
      <w:ind w:left="10" w:hanging="10"/>
    </w:pPr>
    <w:rPr>
      <w:rFonts w:ascii="Calibri" w:cs="Calibri" w:eastAsia="Calibri" w:hAnsi="Calibri"/>
      <w:color w:val="000000"/>
      <w:lang w:eastAsia="en-AU" w:val="en-A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spacing w:after="480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Cs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spacing w:after="100" w:line="200" w:lineRule="atLeast"/>
    </w:pPr>
    <w:rPr>
      <w:rFonts w:ascii="Arial" w:hAnsi="Arial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spacing w:after="200" w:before="720"/>
    </w:pPr>
    <w:rPr>
      <w:rFonts w:eastAsiaTheme="minorEastAsia"/>
      <w:caps w:val="1"/>
      <w:color w:val="292929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5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spacing w:after="100"/>
      <w:ind w:left="480"/>
    </w:pPr>
  </w:style>
  <w:style w:type="character" w:styleId="Hyperlink">
    <w:name w:val="Hyperlink"/>
    <w:basedOn w:val="DefaultParagraphFont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GB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NoSpacing">
    <w:name w:val="No Spacing"/>
    <w:basedOn w:val="Normal"/>
    <w:link w:val="NoSpacingChar"/>
    <w:uiPriority w:val="1"/>
    <w:qFormat w:val="1"/>
    <w:rsid w:val="001B7D85"/>
    <w:pPr>
      <w:spacing w:after="0"/>
    </w:pPr>
    <w:rPr>
      <w:rFonts w:eastAsiaTheme="minorEastAsia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rsid w:val="001B7D85"/>
    <w:rPr>
      <w:rFonts w:ascii="Calibri" w:cs="Calibri" w:hAnsi="Calibri" w:eastAsiaTheme="minorEastAsia"/>
      <w:color w:val="000000"/>
      <w:szCs w:val="20"/>
      <w:lang w:eastAsia="en-AU" w:val="en-AU"/>
    </w:rPr>
  </w:style>
  <w:style w:type="table" w:styleId="PlainTable1">
    <w:name w:val="Plain Table 1"/>
    <w:basedOn w:val="TableNormal"/>
    <w:uiPriority w:val="41"/>
    <w:rsid w:val="001B7D85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BodyText">
    <w:name w:val="Body Text"/>
    <w:basedOn w:val="Normal"/>
    <w:link w:val="BodyTextChar"/>
    <w:rsid w:val="00CC28AD"/>
    <w:pPr>
      <w:widowControl w:val="0"/>
      <w:autoSpaceDE w:val="0"/>
      <w:autoSpaceDN w:val="0"/>
      <w:spacing w:after="240" w:line="240" w:lineRule="auto"/>
      <w:ind w:left="0" w:firstLine="0"/>
      <w:jc w:val="both"/>
    </w:pPr>
    <w:rPr>
      <w:rFonts w:eastAsia="Times New Roman"/>
      <w:color w:val="auto"/>
      <w:spacing w:val="-5"/>
      <w:lang w:bidi="en-AU" w:val="en-US"/>
    </w:rPr>
  </w:style>
  <w:style w:type="character" w:styleId="BodyTextChar" w:customStyle="1">
    <w:name w:val="Body Text Char"/>
    <w:basedOn w:val="DefaultParagraphFont"/>
    <w:link w:val="BodyText"/>
    <w:rsid w:val="00CC28AD"/>
    <w:rPr>
      <w:rFonts w:ascii="Calibri" w:cs="Calibri" w:eastAsia="Times New Roman" w:hAnsi="Calibri"/>
      <w:spacing w:val="-5"/>
      <w:lang w:bidi="en-AU" w:eastAsia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rPr>
        <w:color w:val="000000"/>
      </w:rPr>
      <w:tcPr>
        <w:shd w:fill="ffffff" w:val="clear"/>
      </w:tcPr>
    </w:tblStylePr>
    <w:tblStylePr w:type="band2Horz">
      <w:pPr>
        <w:jc w:val="left"/>
      </w:pPr>
      <w:rPr>
        <w:rFonts w:ascii="Verdana" w:cs="Verdana" w:eastAsia="Verdana" w:hAnsi="Verdana"/>
        <w:b w:val="0"/>
        <w:color w:val="000000"/>
        <w:sz w:val="20"/>
        <w:szCs w:val="20"/>
      </w:rPr>
      <w:tcPr>
        <w:shd w:fill="cccccc" w:val="clear"/>
      </w:tcPr>
    </w:tblStylePr>
    <w:tblStylePr w:type="firstCol">
      <w:rPr>
        <w:b w:val="0"/>
      </w:rPr>
    </w:tblStylePr>
    <w:tblStylePr w:type="firstRow">
      <w:pPr>
        <w:jc w:val="center"/>
      </w:pPr>
      <w:rPr>
        <w:rFonts w:ascii="Verdana" w:cs="Verdana" w:eastAsia="Verdana" w:hAnsi="Verdana"/>
        <w:b w:val="0"/>
        <w:color w:val="ffffff"/>
        <w:sz w:val="20"/>
        <w:szCs w:val="20"/>
      </w:rPr>
      <w:tcPr>
        <w:tcBorders>
          <w:bottom w:color="7e7e7e" w:space="0" w:sz="12" w:val="single"/>
        </w:tcBorders>
        <w:shd w:fill="000000" w:val="clear"/>
        <w:vAlign w:val="center"/>
      </w:tcPr>
    </w:tblStylePr>
    <w:tblStylePr w:type="lastCol">
      <w:rPr>
        <w:b w:val="1"/>
      </w:rPr>
    </w:tblStylePr>
    <w:tblStylePr w:type="lastRow">
      <w:rPr>
        <w:b w:val="1"/>
        <w:color w:val="000000"/>
      </w:rPr>
      <w:tcPr>
        <w:tcBorders>
          <w:top w:color="7e7e7e" w:space="0" w:sz="4" w:val="single"/>
        </w:tcBorders>
      </w:tcPr>
    </w:tblStylePr>
  </w:style>
  <w:style w:type="table" w:styleId="Table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rPr>
        <w:color w:val="000000"/>
      </w:rPr>
      <w:tcPr>
        <w:shd w:fill="ffffff" w:val="clear"/>
      </w:tcPr>
    </w:tblStylePr>
    <w:tblStylePr w:type="band2Horz">
      <w:pPr>
        <w:jc w:val="left"/>
      </w:pPr>
      <w:rPr>
        <w:rFonts w:ascii="Verdana" w:cs="Verdana" w:eastAsia="Verdana" w:hAnsi="Verdana"/>
        <w:b w:val="0"/>
        <w:color w:val="000000"/>
        <w:sz w:val="20"/>
        <w:szCs w:val="20"/>
      </w:rPr>
      <w:tcPr>
        <w:shd w:fill="cccccc" w:val="clear"/>
      </w:tcPr>
    </w:tblStylePr>
    <w:tblStylePr w:type="firstCol">
      <w:rPr>
        <w:b w:val="0"/>
      </w:rPr>
    </w:tblStylePr>
    <w:tblStylePr w:type="firstRow">
      <w:pPr>
        <w:jc w:val="center"/>
      </w:pPr>
      <w:rPr>
        <w:rFonts w:ascii="Verdana" w:cs="Verdana" w:eastAsia="Verdana" w:hAnsi="Verdana"/>
        <w:b w:val="0"/>
        <w:color w:val="ffffff"/>
        <w:sz w:val="20"/>
        <w:szCs w:val="20"/>
      </w:rPr>
      <w:tcPr>
        <w:tcBorders>
          <w:bottom w:color="7e7e7e" w:space="0" w:sz="12" w:val="single"/>
        </w:tcBorders>
        <w:shd w:fill="000000" w:val="clear"/>
        <w:vAlign w:val="center"/>
      </w:tcPr>
    </w:tblStylePr>
    <w:tblStylePr w:type="lastCol">
      <w:rPr>
        <w:b w:val="1"/>
      </w:rPr>
    </w:tblStylePr>
    <w:tblStylePr w:type="lastRow">
      <w:rPr>
        <w:b w:val="1"/>
        <w:color w:val="000000"/>
      </w:rPr>
      <w:tcPr>
        <w:tcBorders>
          <w:top w:color="7e7e7e" w:space="0" w:sz="4" w:val="single"/>
        </w:tcBorders>
      </w:tcPr>
    </w:tblStylePr>
  </w:style>
  <w:style w:type="table" w:styleId="Table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rPr>
        <w:color w:val="000000"/>
      </w:rPr>
      <w:tcPr>
        <w:shd w:fill="ffffff" w:val="clear"/>
      </w:tcPr>
    </w:tblStylePr>
    <w:tblStylePr w:type="band2Horz">
      <w:pPr>
        <w:jc w:val="left"/>
      </w:pPr>
      <w:rPr>
        <w:rFonts w:ascii="Verdana" w:cs="Verdana" w:eastAsia="Verdana" w:hAnsi="Verdana"/>
        <w:b w:val="0"/>
        <w:color w:val="000000"/>
        <w:sz w:val="20"/>
        <w:szCs w:val="20"/>
      </w:rPr>
      <w:tcPr>
        <w:shd w:fill="cccccc" w:val="clear"/>
      </w:tcPr>
    </w:tblStylePr>
    <w:tblStylePr w:type="firstCol">
      <w:rPr>
        <w:b w:val="0"/>
      </w:rPr>
    </w:tblStylePr>
    <w:tblStylePr w:type="firstRow">
      <w:pPr>
        <w:jc w:val="center"/>
      </w:pPr>
      <w:rPr>
        <w:rFonts w:ascii="Verdana" w:cs="Verdana" w:eastAsia="Verdana" w:hAnsi="Verdana"/>
        <w:b w:val="0"/>
        <w:color w:val="ffffff"/>
        <w:sz w:val="20"/>
        <w:szCs w:val="20"/>
      </w:rPr>
      <w:tcPr>
        <w:tcBorders>
          <w:bottom w:color="7e7e7e" w:space="0" w:sz="12" w:val="single"/>
        </w:tcBorders>
        <w:shd w:fill="000000" w:val="clear"/>
        <w:vAlign w:val="center"/>
      </w:tcPr>
    </w:tblStylePr>
    <w:tblStylePr w:type="lastCol">
      <w:rPr>
        <w:b w:val="1"/>
      </w:rPr>
    </w:tblStylePr>
    <w:tblStylePr w:type="lastRow">
      <w:rPr>
        <w:b w:val="1"/>
        <w:color w:val="000000"/>
      </w:rPr>
      <w:tcPr>
        <w:tcBorders>
          <w:top w:color="7e7e7e" w:space="0" w:sz="4" w:val="single"/>
        </w:tcBorders>
      </w:tcPr>
    </w:tblStylePr>
  </w:style>
  <w:style w:type="table" w:styleId="Table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+MkZxV5E1SeEubiXBmpJPF8uMA==">CgMxLjAyCGguZ2pkZ3hzMgloLjMwajB6bGwyCWguMWZvYjl0ZTgAciExNWd5b3pMU2hHWGZta3ZJUzdKNEc4VFR0eDFaTUpmOWw=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2021-06-26T06:56:00Z</dcterms:created>
  <dc:creator>mian latif</dc:creator>
</cp:coreProperties>
</file>