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Brian K Gelder (Co-PI): </w:t>
        <w:tab/>
        <w:t>$48,929 ($37,124 Salary; $11,805 Fringe)</w:t>
      </w:r>
    </w:p>
    <w:p>
      <w:r>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r>
        <w:t>Ali Jannesari (Co-PI):</w:t>
        <w:tab/>
        <w:tab/>
        <w:t>$20,958 ($15,901 Salary; $5,057 Fringe)</w:t>
      </w:r>
    </w:p>
    <w:p>
      <w:r>
        <w:t>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r>
        <w:t>Labor costs for key personnel are projected costs based on actual monthly salaries for the relevant fiscal years. An escalation factor of 3% is applied to all salaries and wages each year of the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