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81E92">
      <w:pPr>
        <w:pStyle w:val="31"/>
        <w:spacing w:after="360"/>
        <w:jc w:val="left"/>
        <w:rPr>
          <w:sz w:val="40"/>
          <w:szCs w:val="40"/>
        </w:rPr>
      </w:pPr>
      <w:r>
        <w:rPr>
          <w:rFonts w:ascii="Aptos" w:hAnsi="Aptos" w:eastAsia="微软雅黑"/>
          <w:b/>
          <w:color w:val="000000"/>
          <w:sz w:val="32"/>
          <w:szCs w:val="40"/>
        </w:rPr>
        <w:t>项目 Skill 清单</w:t>
      </w:r>
    </w:p>
    <w:tbl>
      <w:tblPr>
        <w:tblStyle w:val="33"/>
        <w:tblW w:w="15062" w:type="dxa"/>
        <w:tblInd w:w="-3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4313"/>
        <w:gridCol w:w="8300"/>
      </w:tblGrid>
      <w:tr w14:paraId="479E0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485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5096DFE">
            <w:pPr>
              <w:spacing w:after="0" w:line="240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1"/>
              </w:rPr>
              <w:t>Skill 名称</w:t>
            </w:r>
          </w:p>
        </w:tc>
        <w:tc>
          <w:tcPr>
            <w:tcW w:w="43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485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6A17200">
            <w:pPr>
              <w:spacing w:after="0" w:line="240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1"/>
              </w:rPr>
              <w:t>项目中的具体作用</w:t>
            </w:r>
          </w:p>
        </w:tc>
        <w:tc>
          <w:tcPr>
            <w:tcW w:w="8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485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A541141">
            <w:pPr>
              <w:spacing w:after="0" w:line="240" w:lineRule="auto"/>
              <w:jc w:val="center"/>
              <w:rPr>
                <w:rFonts w:ascii="Aptos" w:hAnsi="Aptos" w:eastAsia="微软雅黑"/>
                <w:b/>
                <w:color w:val="FFFFFF"/>
                <w:sz w:val="21"/>
              </w:rPr>
            </w:pPr>
          </w:p>
        </w:tc>
      </w:tr>
      <w:tr w14:paraId="21C7C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C80E3A6">
            <w:pPr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7212B"/>
                <w:sz w:val="21"/>
              </w:rPr>
              <w:t>game-mvp-evidence-loop</w:t>
            </w:r>
          </w:p>
        </w:tc>
        <w:tc>
          <w:tcPr>
            <w:tcW w:w="43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6E66F74">
            <w:pPr>
              <w:spacing w:after="0" w:line="240" w:lineRule="auto"/>
              <w:jc w:val="left"/>
            </w:pPr>
            <w:r>
              <w:rPr>
                <w:rFonts w:ascii="Aptos" w:hAnsi="Aptos" w:eastAsia="微软雅黑"/>
                <w:b w:val="0"/>
                <w:color w:val="17212B"/>
                <w:sz w:val="21"/>
              </w:rPr>
              <w:t>管理 MVP 唯一需求版本、关卡门禁、反馈修正与真实试玩验证。</w:t>
            </w:r>
          </w:p>
        </w:tc>
        <w:tc>
          <w:tcPr>
            <w:tcW w:w="8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113128E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color w:val="17212B"/>
                <w:sz w:val="21"/>
              </w:rPr>
            </w:pPr>
          </w:p>
        </w:tc>
      </w:tr>
      <w:tr w14:paraId="1411C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617DA93">
            <w:pPr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7212B"/>
                <w:sz w:val="21"/>
              </w:rPr>
              <w:t>imagegen</w:t>
            </w:r>
          </w:p>
        </w:tc>
        <w:tc>
          <w:tcPr>
            <w:tcW w:w="43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B9445DB">
            <w:pPr>
              <w:spacing w:after="0" w:line="240" w:lineRule="auto"/>
              <w:jc w:val="left"/>
            </w:pPr>
            <w:r>
              <w:rPr>
                <w:rFonts w:ascii="Aptos" w:hAnsi="Aptos" w:eastAsia="微软雅黑"/>
                <w:b w:val="0"/>
                <w:color w:val="17212B"/>
                <w:sz w:val="21"/>
              </w:rPr>
              <w:t>生成并统一关卡插画风格，补足关卡场景与主题素材。</w:t>
            </w:r>
          </w:p>
        </w:tc>
        <w:tc>
          <w:tcPr>
            <w:tcW w:w="8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776F511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color w:val="17212B"/>
                <w:sz w:val="21"/>
              </w:rPr>
            </w:pPr>
          </w:p>
        </w:tc>
      </w:tr>
      <w:tr w14:paraId="1164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20FD29B">
            <w:pPr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7212B"/>
                <w:sz w:val="21"/>
              </w:rPr>
              <w:t>game-ui-icons</w:t>
            </w:r>
          </w:p>
        </w:tc>
        <w:tc>
          <w:tcPr>
            <w:tcW w:w="43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F0A046F">
            <w:pPr>
              <w:spacing w:after="0" w:line="240" w:lineRule="auto"/>
              <w:jc w:val="left"/>
            </w:pPr>
            <w:r>
              <w:rPr>
                <w:rFonts w:ascii="Aptos" w:hAnsi="Aptos" w:eastAsia="微软雅黑"/>
                <w:b w:val="0"/>
                <w:color w:val="17212B"/>
                <w:sz w:val="21"/>
              </w:rPr>
              <w:t>设计底部寻物栏的图标化目标物、按钮和 HUD 视觉逻辑。</w:t>
            </w:r>
          </w:p>
        </w:tc>
        <w:tc>
          <w:tcPr>
            <w:tcW w:w="8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83D8069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color w:val="17212B"/>
                <w:sz w:val="21"/>
              </w:rPr>
            </w:pPr>
          </w:p>
        </w:tc>
      </w:tr>
      <w:tr w14:paraId="48694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0B2F666">
            <w:pPr>
              <w:spacing w:after="0" w:line="240" w:lineRule="auto"/>
              <w:jc w:val="left"/>
              <w:rPr>
                <w:rFonts w:ascii="Aptos" w:hAnsi="Aptos" w:eastAsia="微软雅黑" w:cstheme="minorBidi"/>
                <w:b/>
                <w:color w:val="17212B"/>
                <w:sz w:val="21"/>
                <w:szCs w:val="22"/>
                <w:lang w:val="en-US" w:eastAsia="en-US" w:bidi="ar-SA"/>
              </w:rPr>
            </w:pPr>
            <w:r>
              <w:rPr>
                <w:rFonts w:ascii="Aptos" w:hAnsi="Aptos" w:eastAsia="微软雅黑" w:cstheme="minorBidi"/>
                <w:b/>
                <w:color w:val="17212B"/>
                <w:sz w:val="21"/>
                <w:szCs w:val="22"/>
                <w:lang w:val="en-US" w:eastAsia="en-US" w:bidi="ar-SA"/>
              </w:rPr>
              <w:t>navigation-design</w:t>
            </w:r>
          </w:p>
        </w:tc>
        <w:tc>
          <w:tcPr>
            <w:tcW w:w="43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49293A1">
            <w:pPr>
              <w:spacing w:after="0" w:line="240" w:lineRule="auto"/>
              <w:jc w:val="left"/>
              <w:rPr>
                <w:rFonts w:ascii="Aptos" w:hAnsi="Aptos" w:eastAsia="微软雅黑" w:cstheme="minorBidi"/>
                <w:b w:val="0"/>
                <w:color w:val="17212B"/>
                <w:sz w:val="21"/>
                <w:szCs w:val="22"/>
                <w:lang w:val="en-US" w:eastAsia="en-US" w:bidi="ar-SA"/>
              </w:rPr>
            </w:pPr>
            <w:r>
              <w:rPr>
                <w:rFonts w:ascii="Aptos" w:hAnsi="Aptos" w:eastAsia="微软雅黑" w:cstheme="minorBidi"/>
                <w:b w:val="0"/>
                <w:color w:val="17212B"/>
                <w:sz w:val="21"/>
                <w:szCs w:val="22"/>
                <w:lang w:val="en-US" w:eastAsia="en-US" w:bidi="ar-SA"/>
              </w:rPr>
              <w:t>首页分区、全局导航、返回首页、面包屑、生产阶段与关卡阶段分流</w:t>
            </w:r>
          </w:p>
        </w:tc>
        <w:tc>
          <w:tcPr>
            <w:tcW w:w="8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DA8BFA7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color w:val="17212B"/>
                <w:sz w:val="21"/>
              </w:rPr>
            </w:pPr>
          </w:p>
        </w:tc>
      </w:tr>
      <w:tr w14:paraId="60B24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D44233C">
            <w:pPr>
              <w:spacing w:after="0" w:line="240" w:lineRule="auto"/>
              <w:jc w:val="left"/>
              <w:rPr>
                <w:rFonts w:ascii="Aptos" w:hAnsi="Aptos" w:eastAsia="微软雅黑" w:cstheme="minorBidi"/>
                <w:b/>
                <w:color w:val="17212B"/>
                <w:sz w:val="21"/>
                <w:szCs w:val="22"/>
                <w:lang w:val="en-US" w:eastAsia="en-US" w:bidi="ar-SA"/>
              </w:rPr>
            </w:pPr>
            <w:r>
              <w:rPr>
                <w:rFonts w:ascii="Aptos" w:hAnsi="Aptos" w:eastAsia="微软雅黑" w:cstheme="minorBidi"/>
                <w:b/>
                <w:color w:val="17212B"/>
                <w:sz w:val="21"/>
                <w:szCs w:val="22"/>
                <w:lang w:val="en-US" w:eastAsia="en-US" w:bidi="ar-SA"/>
              </w:rPr>
              <w:t>web-design-guidelines</w:t>
            </w:r>
          </w:p>
        </w:tc>
        <w:tc>
          <w:tcPr>
            <w:tcW w:w="43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49F8E53">
            <w:pPr>
              <w:spacing w:after="0" w:line="240" w:lineRule="auto"/>
              <w:jc w:val="left"/>
              <w:rPr>
                <w:rFonts w:ascii="Aptos" w:hAnsi="Aptos" w:eastAsia="微软雅黑" w:cstheme="minorBidi"/>
                <w:b w:val="0"/>
                <w:color w:val="17212B"/>
                <w:sz w:val="21"/>
                <w:szCs w:val="22"/>
                <w:lang w:val="en-US" w:eastAsia="en-US" w:bidi="ar-SA"/>
              </w:rPr>
            </w:pPr>
            <w:r>
              <w:rPr>
                <w:rFonts w:ascii="Aptos" w:hAnsi="Aptos" w:eastAsia="微软雅黑" w:cstheme="minorBidi"/>
                <w:b w:val="0"/>
                <w:color w:val="17212B"/>
                <w:sz w:val="21"/>
                <w:szCs w:val="22"/>
                <w:lang w:val="en-US" w:eastAsia="en-US" w:bidi="ar-SA"/>
              </w:rPr>
              <w:t>面层级、按钮尺寸、焦点状态、无障碍和界面规范检查</w:t>
            </w:r>
          </w:p>
        </w:tc>
        <w:tc>
          <w:tcPr>
            <w:tcW w:w="8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021E6DA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color w:val="17212B"/>
                <w:sz w:val="21"/>
              </w:rPr>
            </w:pPr>
          </w:p>
        </w:tc>
      </w:tr>
      <w:tr w14:paraId="42FDE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476F642">
            <w:pPr>
              <w:spacing w:after="0" w:line="240" w:lineRule="auto"/>
              <w:jc w:val="left"/>
            </w:pPr>
            <w:r>
              <w:rPr>
                <w:rFonts w:ascii="Aptos" w:hAnsi="Aptos" w:eastAsia="微软雅黑"/>
                <w:b/>
                <w:color w:val="17212B"/>
                <w:sz w:val="21"/>
              </w:rPr>
              <w:t>aihub-asset-production</w:t>
            </w:r>
          </w:p>
        </w:tc>
        <w:tc>
          <w:tcPr>
            <w:tcW w:w="43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1F03DBB">
            <w:pPr>
              <w:spacing w:after="0" w:line="240" w:lineRule="auto"/>
              <w:jc w:val="left"/>
            </w:pPr>
            <w:r>
              <w:rPr>
                <w:rFonts w:ascii="Aptos" w:hAnsi="Aptos" w:eastAsia="微软雅黑"/>
                <w:b w:val="0"/>
                <w:color w:val="17212B"/>
                <w:sz w:val="21"/>
              </w:rPr>
              <w:t>可复用的图片与视频资产生产能力</w:t>
            </w:r>
          </w:p>
        </w:tc>
        <w:tc>
          <w:tcPr>
            <w:tcW w:w="8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7F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4EA8F19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color w:val="17212B"/>
                <w:sz w:val="21"/>
              </w:rPr>
            </w:pPr>
          </w:p>
        </w:tc>
      </w:tr>
      <w:tr w14:paraId="30FB4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6028EE9">
            <w:pPr>
              <w:spacing w:after="0" w:line="240" w:lineRule="auto"/>
              <w:jc w:val="left"/>
              <w:rPr>
                <w:rFonts w:ascii="Aptos" w:hAnsi="Aptos" w:eastAsia="微软雅黑"/>
                <w:b/>
                <w:color w:val="17212B"/>
                <w:sz w:val="21"/>
                <w:lang w:val="en-US" w:eastAsia="en-US"/>
              </w:rPr>
            </w:pPr>
            <w:r>
              <w:rPr>
                <w:rFonts w:ascii="Aptos" w:hAnsi="Aptos" w:eastAsia="微软雅黑"/>
                <w:b/>
                <w:color w:val="17212B"/>
                <w:sz w:val="21"/>
                <w:lang w:val="en-US" w:eastAsia="en-US"/>
              </w:rPr>
              <w:t>open-design-game-ui-concept</w:t>
            </w:r>
          </w:p>
        </w:tc>
        <w:tc>
          <w:tcPr>
            <w:tcW w:w="43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CAD336D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</w:pPr>
            <w:r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  <w:t>游戏 UI 概念、主题卡片和整体视觉方向</w:t>
            </w:r>
          </w:p>
        </w:tc>
        <w:tc>
          <w:tcPr>
            <w:tcW w:w="8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D444443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</w:pPr>
            <w:r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  <w:t>远程参考，未安装</w:t>
            </w:r>
          </w:p>
        </w:tc>
      </w:tr>
      <w:tr w14:paraId="2F9A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1B83C23">
            <w:pPr>
              <w:spacing w:after="0" w:line="240" w:lineRule="auto"/>
              <w:jc w:val="left"/>
              <w:rPr>
                <w:rFonts w:ascii="Aptos" w:hAnsi="Aptos" w:eastAsia="微软雅黑"/>
                <w:b/>
                <w:color w:val="17212B"/>
                <w:sz w:val="21"/>
                <w:lang w:val="en-US" w:eastAsia="en-US"/>
              </w:rPr>
            </w:pPr>
            <w:r>
              <w:rPr>
                <w:rFonts w:ascii="Aptos" w:hAnsi="Aptos" w:eastAsia="微软雅黑"/>
                <w:b/>
                <w:color w:val="17212B"/>
                <w:sz w:val="21"/>
                <w:lang w:val="en-US" w:eastAsia="en-US"/>
              </w:rPr>
              <w:t>open-design-game-ui-handoff</w:t>
            </w:r>
          </w:p>
        </w:tc>
        <w:tc>
          <w:tcPr>
            <w:tcW w:w="43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21DFF6B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</w:pPr>
            <w:r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  <w:t>将 UI 概念整理成可实施的开发规范</w:t>
            </w:r>
          </w:p>
        </w:tc>
        <w:tc>
          <w:tcPr>
            <w:tcW w:w="8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2156CCD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</w:pPr>
            <w:r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  <w:t>远程参考，未安装</w:t>
            </w:r>
            <w:bookmarkStart w:id="0" w:name="_GoBack"/>
            <w:bookmarkEnd w:id="0"/>
          </w:p>
        </w:tc>
      </w:tr>
      <w:tr w14:paraId="60C3B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BF377B3">
            <w:pPr>
              <w:spacing w:after="0" w:line="240" w:lineRule="auto"/>
              <w:jc w:val="left"/>
              <w:rPr>
                <w:rFonts w:ascii="Aptos" w:hAnsi="Aptos" w:eastAsia="微软雅黑"/>
                <w:b/>
                <w:color w:val="17212B"/>
                <w:sz w:val="21"/>
                <w:lang w:val="en-US" w:eastAsia="en-US"/>
              </w:rPr>
            </w:pPr>
            <w:r>
              <w:rPr>
                <w:rFonts w:ascii="Aptos" w:hAnsi="Aptos" w:eastAsia="微软雅黑"/>
                <w:b/>
                <w:color w:val="17212B"/>
                <w:sz w:val="21"/>
                <w:lang w:val="en-US" w:eastAsia="en-US"/>
              </w:rPr>
              <w:t>game-ux-designer</w:t>
            </w:r>
          </w:p>
        </w:tc>
        <w:tc>
          <w:tcPr>
            <w:tcW w:w="43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EDD9AEC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</w:pPr>
            <w:r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  <w:t>区分“生产工作台”和“完成后的关卡列表”两种生命周期</w:t>
            </w:r>
          </w:p>
        </w:tc>
        <w:tc>
          <w:tcPr>
            <w:tcW w:w="8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53123F5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</w:pPr>
            <w:r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  <w:t>远程参考，未安装</w:t>
            </w:r>
          </w:p>
        </w:tc>
      </w:tr>
      <w:tr w14:paraId="1D4B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78C1268">
            <w:pPr>
              <w:spacing w:after="0" w:line="240" w:lineRule="auto"/>
              <w:jc w:val="left"/>
              <w:rPr>
                <w:rFonts w:ascii="Aptos" w:hAnsi="Aptos" w:eastAsia="微软雅黑"/>
                <w:b/>
                <w:color w:val="17212B"/>
                <w:sz w:val="21"/>
                <w:lang w:val="en-US" w:eastAsia="en-US"/>
              </w:rPr>
            </w:pPr>
            <w:r>
              <w:rPr>
                <w:rFonts w:ascii="Aptos" w:hAnsi="Aptos" w:eastAsia="微软雅黑"/>
                <w:b/>
                <w:color w:val="17212B"/>
                <w:sz w:val="21"/>
                <w:lang w:val="en-US" w:eastAsia="en-US"/>
              </w:rPr>
              <w:t>audit-design-system-consistency</w:t>
            </w:r>
          </w:p>
        </w:tc>
        <w:tc>
          <w:tcPr>
            <w:tcW w:w="43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2D23B82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</w:pPr>
            <w:r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  <w:t>统一四个页面的导航高度、顶边距离、按钮和字体尺寸</w:t>
            </w:r>
          </w:p>
        </w:tc>
        <w:tc>
          <w:tcPr>
            <w:tcW w:w="8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D8ACE5A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</w:pPr>
            <w:r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  <w:t>临时使用后已清理</w:t>
            </w:r>
          </w:p>
        </w:tc>
      </w:tr>
      <w:tr w14:paraId="2F62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559E614">
            <w:pPr>
              <w:spacing w:after="0" w:line="240" w:lineRule="auto"/>
              <w:jc w:val="left"/>
              <w:rPr>
                <w:rFonts w:ascii="Aptos" w:hAnsi="Aptos" w:eastAsia="微软雅黑"/>
                <w:b/>
                <w:color w:val="17212B"/>
                <w:sz w:val="21"/>
                <w:lang w:val="en-US" w:eastAsia="en-US"/>
              </w:rPr>
            </w:pPr>
            <w:r>
              <w:rPr>
                <w:rFonts w:ascii="Aptos" w:hAnsi="Aptos" w:eastAsia="微软雅黑"/>
                <w:b/>
                <w:color w:val="17212B"/>
                <w:sz w:val="21"/>
                <w:lang w:val="en-US" w:eastAsia="en-US"/>
              </w:rPr>
              <w:t>ui-ux-game</w:t>
            </w:r>
          </w:p>
        </w:tc>
        <w:tc>
          <w:tcPr>
            <w:tcW w:w="43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DF86845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</w:pPr>
            <w:r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  <w:t>HUD、物品栏、提示反馈、渐进披露及游戏界面层级</w:t>
            </w:r>
          </w:p>
        </w:tc>
        <w:tc>
          <w:tcPr>
            <w:tcW w:w="8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E769748">
            <w:pPr>
              <w:spacing w:after="0" w:line="240" w:lineRule="auto"/>
              <w:jc w:val="left"/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</w:pPr>
            <w:r>
              <w:rPr>
                <w:rFonts w:ascii="Aptos" w:hAnsi="Aptos" w:eastAsia="微软雅黑"/>
                <w:b w:val="0"/>
                <w:bCs/>
                <w:color w:val="17212B"/>
                <w:sz w:val="21"/>
              </w:rPr>
              <w:t>远程参考，未安装</w:t>
            </w:r>
          </w:p>
        </w:tc>
      </w:tr>
    </w:tbl>
    <w:p w14:paraId="28BC1ACA"/>
    <w:sectPr>
      <w:pgSz w:w="12240" w:h="15840"/>
      <w:pgMar w:top="1304" w:right="1247" w:bottom="130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62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209</Words>
  <Characters>335</Characters>
  <Lines>0</Lines>
  <Paragraphs>0</Paragraphs>
  <TotalTime>15</TotalTime>
  <ScaleCrop>false</ScaleCrop>
  <LinksUpToDate>false</LinksUpToDate>
  <CharactersWithSpaces>355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游浠</cp:lastModifiedBy>
  <dcterms:modified xsi:type="dcterms:W3CDTF">2026-09-07T13:05:27Z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eyJoZGlkIjoiYTZkMWI0Njk5ZjNlMTE5ZWE2NWQ2NWVlZGMyNWVhMjEiLCJ1c2VySWQiOiI0MzY2NDU1MzcifQ==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D29B2212AACA4E49ADFE05DEF00026A0_12</vt:lpwstr>
  </property>
</Properties>
</file>