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  <w:spacing w:val="24"/>
        </w:rPr>
        <w:t>1、</w:t>
      </w:r>
      <w:r>
        <w:rPr>
          <w:rStyle w:val="5"/>
          <w:color w:val="FF0000"/>
          <w:spacing w:val="24"/>
        </w:rPr>
        <w:t>文献溯源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ascii="Microsoft YaHei UI" w:hAnsi="Microsoft YaHei UI" w:eastAsia="Microsoft YaHei UI" w:cs="Microsoft YaHei UI"/>
          <w:spacing w:val="24"/>
          <w:sz w:val="16"/>
          <w:szCs w:val="16"/>
        </w:rPr>
        <w:t>请根据[研究主题]，</w:t>
      </w: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构建三级文献溯源网络：①奠基文献（1980-2000）②演进文献（2001-2020）③突变文献（2021-2023），生成核心文献矩阵并标注「知识遗传权重值」。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2、共被引分析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请根据[5篇核心文献]的共被引关系，绘制学术共同体图谱，识别3个潜在理论分支并计算「学派影响力熵值」。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3、理论框架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请根据[研究问题]，自动匹配3个相关理论模型，构建概念关系网络图，生成理论整合方案并标注「模型适配度」与「解释力缺口」。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4、跨学科引渡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请根据[基础学科理论]，检索其在[目标学科领域]的迁移应用文献，生成跨学科移植可行性报告并标注「理论变异风险系数」。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5、研究缺口定位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请分析[50篇精选文献]的方法论演变路径，识别3类方法创新断层带，生成缺口地图并标注「突破可能性指数」。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6、方法论演化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请根据[学科领域]近十年研究方法分布，预测3种方法衰退/崛起趋势，生成方法迁移路线图并标注「方法红利窗口期」。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7、学术争议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请根据[理论命题]的正反方文献，构建争议强度时序曲线，识别3个未经验证的核心争议点并标注「实证研究紧迫值」。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8、文献计量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请扫描[研究方向]的突现关键词与衰变关键词，生成3个潜在研究方向并标注「学术泡沫指数」与「价值成长预期」。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9、逆向文献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请根据[非常规现象]，逆向检索非常规解释文献，生成3个反常理论解释框架并标注「范式颠覆强度」。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bookmarkStart w:id="0" w:name="_GoBack"/>
      <w:r>
        <w:rPr>
          <w:color w:val="FF0000"/>
          <w:spacing w:val="24"/>
        </w:rPr>
        <w:t>10、趋势预测</w:t>
      </w:r>
    </w:p>
    <w:bookmarkEnd w:id="0"/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请基于文献生命周期规律，推演[研究领域]未来5年发展趋势，生成3个预研方向并标注「先发优势值」。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36E7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2025-03-06T00:35:16Z</dcterms:created>
  <dc:creator>dell</dc:creator>
  <cp:lastModifiedBy>༺ۣۖ夜ۣۖ༒ۣBoyۣۖ༻</cp:lastModifiedBy>
  <dcterms:modified xsi:type="dcterms:W3CDTF">2025-03-06T00:36:44Z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57F7C7F9AD584248A2473088DD1B3B54_12</vt:lpwstr>
  </property>
</Properties>
</file>