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color w:val="FF0000"/>
          <w:spacing w:val="24"/>
        </w:rPr>
        <w:t>1、</w:t>
      </w:r>
      <w:r>
        <w:rPr>
          <w:rStyle w:val="5"/>
          <w:color w:val="FF0000"/>
          <w:spacing w:val="24"/>
        </w:rPr>
        <w:t>跨学科交叉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color w:val="333333"/>
          <w:sz w:val="16"/>
          <w:szCs w:val="16"/>
        </w:rPr>
      </w:pPr>
      <w:r>
        <w:rPr>
          <w:rFonts w:ascii="Microsoft YaHei UI" w:hAnsi="Microsoft YaHei UI" w:eastAsia="Microsoft YaHei UI" w:cs="Microsoft YaHei UI"/>
          <w:color w:val="333333"/>
          <w:spacing w:val="24"/>
          <w:sz w:val="16"/>
          <w:szCs w:val="16"/>
        </w:rPr>
        <w:t>请根据[研究主题</w:t>
      </w:r>
      <w:bookmarkStart w:id="0" w:name="OLE_LINK1"/>
      <w:r>
        <w:rPr>
          <w:rFonts w:ascii="Microsoft YaHei UI" w:hAnsi="Microsoft YaHei UI" w:eastAsia="Microsoft YaHei UI" w:cs="Microsoft YaHei UI"/>
          <w:color w:val="333333"/>
          <w:spacing w:val="24"/>
          <w:sz w:val="16"/>
          <w:szCs w:val="16"/>
        </w:rPr>
        <w:t>]，分析其在5个相关学科的核心文献共现图谱，识别理论移植盲区，生成3个具备学科交叉创新性的</w:t>
      </w:r>
      <w:bookmarkEnd w:id="0"/>
      <w:r>
        <w:rPr>
          <w:rFonts w:ascii="Microsoft YaHei UI" w:hAnsi="Microsoft YaHei UI" w:eastAsia="Microsoft YaHei UI" w:cs="Microsoft YaHei UI"/>
          <w:color w:val="333333"/>
          <w:spacing w:val="24"/>
          <w:sz w:val="16"/>
          <w:szCs w:val="16"/>
        </w:rPr>
        <w:t>选题，标注「理论融合度」与「填补空白维度」评估指标。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2、方法论移植</w:t>
      </w:r>
    </w:p>
    <w:p>
      <w:pPr>
        <w:pStyle w:val="2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请根据[学科领域]的3种传统研究方法，匹配2个异质学科方法论进行可行性论证，生成2个方法创新选题，标注「移植适配度」与「解释力提升值」量化参数。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3、学术争议转化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请根据[研究主题]的学术争论焦点，提取3组对立假设的实证检验缺口，设计三角验证方案，生成2个争议驱动型选题并标注「理论突破潜力指数」。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4、技术-伦理滞后探测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请根据[新兴技术名称]的发展曲线，对比其伦理研究文献的时序滞后区间，生成3个风险预警型选题，标注「技术成熟度」与「伦理研究GAP值」双轴参数。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5、政策响应型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请根据[政策文件/国际倡议]的关键条款，解析其与[学科领域]研究的对接盲点，生成5个政策导向型选题，标注「社会影响力」与「学术响应度」评估矩阵。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6、历史变量对比选题分析框架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请根据[社会现象]的历时性特征，构建跨时代核心变量对比模型，生成2个纵向研究选题，标注「变量控制方案」与「历史解释力提升值」。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7、文化摩擦测量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请根据[全球化现象]的在地化变异数据，设计3维度文化适配度指标体系，生成3个文化冲突研究选题，标注「测量信效度」与「理论修正空间」。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8、逆向假设验证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请根据[传统理论命题]，解构其3个默认前提并进行反事实推演，生成2个颠覆性选题，标注「假设颠覆强度」与「验证方法论组合」。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9、学科范式突破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请根据[学科领域]的主流范式局限，注入2个异质学科认知框架，生成3个范式创新选题，标注「知识生产重构度」与「解释边界扩展值」。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</w:pPr>
      <w:r>
        <w:rPr>
          <w:color w:val="FF0000"/>
          <w:spacing w:val="24"/>
        </w:rPr>
        <w:t>10、数据异常驱动</w:t>
      </w:r>
      <w:bookmarkStart w:id="1" w:name="_GoBack"/>
      <w:bookmarkEnd w:id="1"/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请根据[研究主题]的多源数据库，检测突变点与长尾分布特征，生成5个反常现象研究选题，标注「数据异常指数」与「理论重构可行性」。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3D43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ascii="Times New Roman" w:hAnsi="Times New Roman" w:eastAsia="宋体"/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2025-03-06T00:39:04Z</dcterms:created>
  <dc:creator>dell</dc:creator>
  <cp:lastModifiedBy>༺ۣۖ夜ۣۖ༒ۣBoyۣۖ༻</cp:lastModifiedBy>
  <dcterms:modified xsi:type="dcterms:W3CDTF">2025-03-06T00:40:35Z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A0420091D70E4487BA16B056894CEE9A_12</vt:lpwstr>
  </property>
</Properties>
</file>