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eastAsia="黑体"/>
          <w:b/>
          <w:sz w:val="36"/>
        </w:rPr>
      </w:pPr>
      <w:r>
        <w:rPr>
          <w:rFonts w:hint="eastAsia" w:ascii="Times New Roman" w:eastAsia="黑体"/>
          <w:b/>
          <w:sz w:val="36"/>
          <w:lang w:val="en-US" w:eastAsia="zh-CN"/>
        </w:rPr>
        <w:t>龙芯杯个人赛</w:t>
      </w:r>
      <w:r>
        <w:rPr>
          <w:rFonts w:hint="eastAsia" w:ascii="Times New Roman" w:eastAsia="黑体"/>
          <w:b/>
          <w:sz w:val="36"/>
        </w:rPr>
        <w:t>设计报告</w:t>
      </w:r>
    </w:p>
    <w:p>
      <w:pPr>
        <w:jc w:val="center"/>
        <w:rPr>
          <w:rFonts w:hint="eastAsia" w:ascii="Times New Roman" w:eastAsia="黑体"/>
          <w:b/>
          <w:sz w:val="36"/>
        </w:rPr>
      </w:pPr>
    </w:p>
    <w:p>
      <w:pPr>
        <w:wordWrap w:val="0"/>
        <w:jc w:val="center"/>
        <w:rPr>
          <w:rFonts w:hint="eastAsia" w:ascii="楷体" w:hAnsi="楷体" w:eastAsia="楷体" w:cs="楷体"/>
          <w:sz w:val="22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1"/>
        </w:rPr>
        <w:t>学校</w:t>
      </w:r>
      <w:r>
        <w:rPr>
          <w:rFonts w:hint="eastAsia" w:ascii="楷体" w:hAnsi="楷体" w:eastAsia="楷体" w:cs="楷体"/>
          <w:sz w:val="22"/>
          <w:szCs w:val="21"/>
          <w:lang w:val="en-US" w:eastAsia="zh-CN"/>
        </w:rPr>
        <w:t xml:space="preserve"> 清华大学</w:t>
      </w:r>
    </w:p>
    <w:p>
      <w:pPr>
        <w:wordWrap w:val="0"/>
        <w:jc w:val="center"/>
        <w:rPr>
          <w:rFonts w:hint="eastAsia" w:ascii="楷体" w:hAnsi="楷体" w:eastAsia="楷体" w:cs="楷体"/>
          <w:sz w:val="22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1"/>
        </w:rPr>
        <w:t>姓名</w:t>
      </w:r>
      <w:r>
        <w:rPr>
          <w:rFonts w:hint="eastAsia" w:ascii="楷体" w:hAnsi="楷体" w:eastAsia="楷体" w:cs="楷体"/>
          <w:sz w:val="22"/>
          <w:szCs w:val="21"/>
          <w:lang w:val="en-US" w:eastAsia="zh-CN"/>
        </w:rPr>
        <w:t xml:space="preserve"> 尤忆晨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一、设计简介</w:t>
      </w:r>
    </w:p>
    <w:p>
      <w:pPr>
        <w:spacing w:line="240" w:lineRule="auto"/>
        <w:ind w:firstLine="440" w:firstLineChars="200"/>
        <w:rPr>
          <w:rFonts w:hint="default" w:ascii="Times New Roman" w:hAnsi="Times New Roman" w:eastAsia="宋体"/>
          <w:b w:val="0"/>
          <w:bCs w:val="0"/>
          <w:color w:val="auto"/>
          <w:sz w:val="22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auto"/>
          <w:sz w:val="22"/>
          <w:szCs w:val="24"/>
          <w:lang w:val="en-US" w:eastAsia="zh-CN"/>
        </w:rPr>
        <w:t>单发射五级流水线CPU，采用两周期访存，添加了icache模块，主频达到</w:t>
      </w:r>
      <w:r>
        <w:rPr>
          <w:rFonts w:hint="eastAsia" w:ascii="Times New Roman" w:hAnsi="Times New Roman" w:eastAsia="宋体"/>
          <w:b/>
          <w:bCs/>
          <w:color w:val="auto"/>
          <w:sz w:val="22"/>
          <w:szCs w:val="24"/>
          <w:lang w:val="en-US" w:eastAsia="zh-CN"/>
        </w:rPr>
        <w:t>120MHz</w:t>
      </w:r>
      <w:r>
        <w:rPr>
          <w:rFonts w:hint="eastAsia" w:ascii="Times New Roman" w:hAnsi="Times New Roman" w:eastAsia="宋体"/>
          <w:b w:val="0"/>
          <w:bCs w:val="0"/>
          <w:color w:val="auto"/>
          <w:sz w:val="22"/>
          <w:szCs w:val="24"/>
          <w:lang w:val="en-US" w:eastAsia="zh-CN"/>
        </w:rPr>
        <w:t xml:space="preserve">，通过了所有测试，性能测试成绩为0.066s + 0.097s + 0.232s = </w:t>
      </w:r>
      <w:r>
        <w:rPr>
          <w:rFonts w:hint="eastAsia" w:ascii="Times New Roman" w:hAnsi="Times New Roman" w:eastAsia="宋体"/>
          <w:b/>
          <w:bCs/>
          <w:color w:val="auto"/>
          <w:sz w:val="22"/>
          <w:szCs w:val="24"/>
          <w:lang w:val="en-US" w:eastAsia="zh-CN"/>
        </w:rPr>
        <w:t>0.395</w:t>
      </w:r>
      <w:r>
        <w:rPr>
          <w:rFonts w:hint="eastAsia" w:ascii="Times New Roman" w:hAnsi="Times New Roman" w:eastAsia="宋体"/>
          <w:b w:val="0"/>
          <w:bCs w:val="0"/>
          <w:color w:val="auto"/>
          <w:sz w:val="22"/>
          <w:szCs w:val="24"/>
          <w:lang w:val="en-US" w:eastAsia="zh-CN"/>
        </w:rPr>
        <w:t>s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二、设计方案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  <w:bookmarkStart w:id="0" w:name="_GoBack"/>
      <w:bookmarkEnd w:id="0"/>
    </w:p>
    <w:p>
      <w:pPr>
        <w:spacing w:line="24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本设计采用经典的五级流水线CPU架构，参考了《自主设计CPU》中的架构，流水线部分为IF、ID、EX、MEM、WB五个部分，在此基础上添加了串口控制模块以及sram控制模块，同时将访存控制模块单独作为一个模块，以方便调整访存周期数和后续添加dcache。流水线的步骤如下：</w:t>
      </w:r>
    </w:p>
    <w:p>
      <w:pPr>
        <w:spacing w:line="240" w:lineRule="auto"/>
        <w:ind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1"/>
        </w:numPr>
        <w:spacing w:before="78" w:beforeLines="25" w:after="78" w:afterLines="25"/>
        <w:rPr>
          <w:rFonts w:hint="eastAsia" w:ascii="Times New Roman" w:hAnsi="Times New Roman" w:eastAsia="黑体"/>
          <w:color w:val="FF0000"/>
          <w:sz w:val="28"/>
        </w:rPr>
      </w:pPr>
      <w:r>
        <w:rPr>
          <w:rFonts w:hint="eastAsia" w:ascii="Times New Roman" w:hAnsi="Times New Roman" w:eastAsia="黑体"/>
          <w:sz w:val="28"/>
          <w:lang w:val="en-US" w:eastAsia="zh-CN"/>
        </w:rPr>
        <w:t>icache</w:t>
      </w:r>
      <w:r>
        <w:rPr>
          <w:rFonts w:hint="eastAsia" w:ascii="Times New Roman" w:hAnsi="Times New Roman" w:eastAsia="黑体"/>
          <w:sz w:val="28"/>
        </w:rPr>
        <w:t>模块设计</w:t>
      </w:r>
    </w:p>
    <w:p>
      <w:pPr>
        <w:numPr>
          <w:ilvl w:val="0"/>
          <w:numId w:val="0"/>
        </w:numPr>
        <w:spacing w:before="78" w:beforeLines="25" w:after="78" w:afterLines="25"/>
        <w:ind w:firstLine="420" w:firstLineChars="0"/>
        <w:rPr>
          <w:rFonts w:hint="default" w:asciiTheme="minorEastAsia" w:hAnsiTheme="minorEastAsia" w:eastAsiaTheme="minorEastAsia" w:cstheme="minorEastAsia"/>
          <w:color w:val="auto"/>
          <w:sz w:val="22"/>
          <w:szCs w:val="20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2"/>
          <w:szCs w:val="20"/>
          <w:highlight w:val="none"/>
          <w:lang w:val="en-US" w:eastAsia="zh-CN"/>
        </w:rPr>
        <w:t>在基础的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0"/>
          <w:highlight w:val="none"/>
          <w:lang w:val="en-US" w:eastAsia="zh-CN"/>
        </w:rPr>
        <w:t>直接映像</w:t>
      </w:r>
      <w:r>
        <w:rPr>
          <w:rFonts w:hint="eastAsia" w:asciiTheme="minorEastAsia" w:hAnsiTheme="minorEastAsia" w:eastAsiaTheme="minorEastAsia" w:cstheme="minorEastAsia"/>
          <w:color w:val="auto"/>
          <w:sz w:val="22"/>
          <w:szCs w:val="20"/>
          <w:highlight w:val="none"/>
          <w:lang w:val="en-US" w:eastAsia="zh-CN"/>
        </w:rPr>
        <w:t>指令cache基础上，我相继设计了</w:t>
      </w:r>
      <w:r>
        <w:rPr>
          <w:rFonts w:hint="eastAsia" w:asciiTheme="minorEastAsia" w:hAnsiTheme="minorEastAsia" w:cstheme="minorEastAsia"/>
          <w:b/>
          <w:bCs/>
          <w:color w:val="auto"/>
          <w:sz w:val="22"/>
          <w:szCs w:val="20"/>
          <w:highlight w:val="none"/>
          <w:lang w:val="en-US" w:eastAsia="zh-CN"/>
        </w:rPr>
        <w:t>最近最少替换策略的2-路组相联</w:t>
      </w:r>
      <w:r>
        <w:rPr>
          <w:rFonts w:hint="eastAsia" w:asciiTheme="minorEastAsia" w:hAnsiTheme="minorEastAsia" w:cstheme="minorEastAsia"/>
          <w:color w:val="auto"/>
          <w:sz w:val="22"/>
          <w:szCs w:val="20"/>
          <w:highlight w:val="none"/>
          <w:lang w:val="en-US" w:eastAsia="zh-CN"/>
        </w:rPr>
        <w:t>cache以及</w:t>
      </w:r>
      <w:r>
        <w:rPr>
          <w:rFonts w:hint="eastAsia" w:asciiTheme="minorEastAsia" w:hAnsiTheme="minorEastAsia" w:cstheme="minorEastAsia"/>
          <w:b/>
          <w:bCs/>
          <w:color w:val="auto"/>
          <w:sz w:val="22"/>
          <w:szCs w:val="20"/>
          <w:highlight w:val="none"/>
          <w:lang w:val="en-US" w:eastAsia="zh-CN"/>
        </w:rPr>
        <w:t>先入先出替换策略的4-路组相联</w:t>
      </w:r>
      <w:r>
        <w:rPr>
          <w:rFonts w:hint="eastAsia" w:asciiTheme="minorEastAsia" w:hAnsiTheme="minorEastAsia" w:cstheme="minorEastAsia"/>
          <w:color w:val="auto"/>
          <w:sz w:val="22"/>
          <w:szCs w:val="20"/>
          <w:highlight w:val="none"/>
          <w:lang w:val="en-US" w:eastAsia="zh-CN"/>
        </w:rPr>
        <w:t>cache，经过测试发现，由于性能测试的指令数量较少，直接映像就可以存储大部分指令，2路和4路由于增加了额外的逻辑，效果不如直接映像好，但文件中保留了设计文件，以方便决赛时直接替换。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（三）</w:t>
      </w:r>
      <w:r>
        <w:rPr>
          <w:rFonts w:hint="eastAsia" w:ascii="Times New Roman" w:hAnsi="Times New Roman" w:eastAsia="黑体"/>
          <w:sz w:val="28"/>
          <w:lang w:val="en-US" w:eastAsia="zh-CN"/>
        </w:rPr>
        <w:t>mem_controller</w:t>
      </w:r>
      <w:r>
        <w:rPr>
          <w:rFonts w:hint="eastAsia" w:ascii="Times New Roman" w:hAnsi="Times New Roman" w:eastAsia="黑体"/>
          <w:sz w:val="28"/>
        </w:rPr>
        <w:t>模块设计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textAlignment w:val="auto"/>
        <w:rPr>
          <w:rFonts w:hint="eastAsia" w:asciiTheme="minorEastAsia" w:hAnsiTheme="minorEastAsia" w:cstheme="minorEastAsia"/>
          <w:sz w:val="22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1"/>
          <w:lang w:val="en-US" w:eastAsia="zh-CN"/>
        </w:rPr>
        <w:t>为了方便后续添加dcache和调整访存周期</w:t>
      </w:r>
      <w:r>
        <w:rPr>
          <w:rFonts w:hint="eastAsia" w:asciiTheme="minorEastAsia" w:hAnsiTheme="minorEastAsia" w:cstheme="minorEastAsia"/>
          <w:sz w:val="22"/>
          <w:szCs w:val="21"/>
          <w:lang w:val="en-US" w:eastAsia="zh-CN"/>
        </w:rPr>
        <w:t>数</w:t>
      </w:r>
      <w:r>
        <w:rPr>
          <w:rFonts w:hint="eastAsia" w:asciiTheme="minorEastAsia" w:hAnsiTheme="minorEastAsia" w:eastAsiaTheme="minorEastAsia" w:cstheme="minorEastAsia"/>
          <w:sz w:val="22"/>
          <w:szCs w:val="21"/>
          <w:lang w:val="en-US" w:eastAsia="zh-CN"/>
        </w:rPr>
        <w:t>，我将访存控制部分单独作为一个模块</w:t>
      </w:r>
      <w:r>
        <w:rPr>
          <w:rFonts w:hint="eastAsia" w:asciiTheme="minorEastAsia" w:hAnsiTheme="minorEastAsia" w:cstheme="minorEastAsia"/>
          <w:sz w:val="22"/>
          <w:szCs w:val="21"/>
          <w:lang w:val="en-US" w:eastAsia="zh-CN"/>
        </w:rPr>
        <w:t>。现有的设计采用状态机控制的</w:t>
      </w:r>
      <w:r>
        <w:rPr>
          <w:rFonts w:hint="eastAsia" w:asciiTheme="minorEastAsia" w:hAnsiTheme="minorEastAsia" w:cstheme="minorEastAsia"/>
          <w:b/>
          <w:bCs/>
          <w:sz w:val="22"/>
          <w:szCs w:val="21"/>
          <w:lang w:val="en-US" w:eastAsia="zh-CN"/>
        </w:rPr>
        <w:t>两周期访存</w:t>
      </w:r>
      <w:r>
        <w:rPr>
          <w:rFonts w:hint="eastAsia" w:asciiTheme="minorEastAsia" w:hAnsiTheme="minorEastAsia" w:cstheme="minorEastAsia"/>
          <w:sz w:val="22"/>
          <w:szCs w:val="21"/>
          <w:lang w:val="en-US" w:eastAsia="zh-CN"/>
        </w:rPr>
        <w:t>，主频可以达到120MHz，设计中曾为了提高主频采用三周期访存，但是主频仅提高了不到10MHz，性能测试结果反而不如两周期访存，后续考虑继续优化关键路径，采用三周期继续提高频率。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</w:t>
      </w:r>
      <w:r>
        <w:rPr>
          <w:rFonts w:hint="eastAsia" w:ascii="Times New Roman" w:hAnsi="Times New Roman" w:eastAsia="黑体"/>
          <w:sz w:val="28"/>
          <w:lang w:val="en-US" w:eastAsia="zh-CN"/>
        </w:rPr>
        <w:t>四</w:t>
      </w:r>
      <w:r>
        <w:rPr>
          <w:rFonts w:hint="eastAsia" w:ascii="Times New Roman" w:hAnsi="Times New Roman" w:eastAsia="黑体"/>
          <w:sz w:val="28"/>
        </w:rPr>
        <w:t>）</w:t>
      </w:r>
      <w:r>
        <w:rPr>
          <w:rFonts w:hint="eastAsia" w:ascii="Times New Roman" w:hAnsi="Times New Roman" w:eastAsia="黑体"/>
          <w:sz w:val="28"/>
          <w:lang w:val="en-US" w:eastAsia="zh-CN"/>
        </w:rPr>
        <w:t>乘法器</w:t>
      </w:r>
      <w:r>
        <w:rPr>
          <w:rFonts w:hint="eastAsia" w:ascii="Times New Roman" w:hAnsi="Times New Roman" w:eastAsia="黑体"/>
          <w:sz w:val="28"/>
        </w:rPr>
        <w:t>模块设计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2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1"/>
          <w:lang w:val="en-US" w:eastAsia="zh-CN"/>
        </w:rPr>
        <w:t>开始时采用</w:t>
      </w:r>
      <w:r>
        <w:rPr>
          <w:rFonts w:hint="eastAsia" w:asciiTheme="minorEastAsia" w:hAnsiTheme="minorEastAsia" w:cstheme="minorEastAsia"/>
          <w:b/>
          <w:bCs/>
          <w:sz w:val="22"/>
          <w:szCs w:val="21"/>
          <w:lang w:val="en-US" w:eastAsia="zh-CN"/>
        </w:rPr>
        <w:t>六层华莱士数</w:t>
      </w:r>
      <w:r>
        <w:rPr>
          <w:rFonts w:hint="eastAsia" w:asciiTheme="minorEastAsia" w:hAnsiTheme="minorEastAsia" w:cstheme="minorEastAsia"/>
          <w:sz w:val="22"/>
          <w:szCs w:val="21"/>
          <w:lang w:val="en-US" w:eastAsia="zh-CN"/>
        </w:rPr>
        <w:t>设计，但是时序分析时发现华莱士数占用lut资源过大且布线延时过大，因此采用</w:t>
      </w:r>
      <w:r>
        <w:rPr>
          <w:rFonts w:hint="eastAsia" w:asciiTheme="minorEastAsia" w:hAnsiTheme="minorEastAsia" w:cstheme="minorEastAsia"/>
          <w:b/>
          <w:bCs/>
          <w:sz w:val="22"/>
          <w:szCs w:val="21"/>
          <w:lang w:val="en-US" w:eastAsia="zh-CN"/>
        </w:rPr>
        <w:t>0周期的multplier ip核</w:t>
      </w:r>
      <w:r>
        <w:rPr>
          <w:rFonts w:hint="eastAsia" w:asciiTheme="minorEastAsia" w:hAnsiTheme="minorEastAsia" w:cstheme="minorEastAsia"/>
          <w:sz w:val="22"/>
          <w:szCs w:val="21"/>
          <w:lang w:val="en-US" w:eastAsia="zh-CN"/>
        </w:rPr>
        <w:t>代替，使用dsp资源来降低lut资源使用。</w:t>
      </w:r>
    </w:p>
    <w:p>
      <w:pPr>
        <w:spacing w:line="360" w:lineRule="auto"/>
        <w:ind w:firstLine="480" w:firstLineChars="200"/>
        <w:rPr>
          <w:rFonts w:ascii="Times New Roman" w:hAnsi="Times New Roman" w:eastAsia="黑体"/>
          <w:sz w:val="24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三、设计结果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请</w:t>
      </w:r>
      <w:r>
        <w:rPr>
          <w:rFonts w:ascii="Times New Roman" w:hAnsi="Times New Roman" w:eastAsia="宋体"/>
          <w:color w:val="FF0000"/>
        </w:rPr>
        <w:t>不要</w:t>
      </w:r>
      <w:r>
        <w:rPr>
          <w:rFonts w:hint="eastAsia" w:ascii="Times New Roman" w:hAnsi="Times New Roman" w:eastAsia="宋体"/>
          <w:color w:val="FF0000"/>
        </w:rPr>
        <w:t>大篇幅地</w:t>
      </w:r>
      <w:r>
        <w:rPr>
          <w:rFonts w:ascii="Times New Roman" w:hAnsi="Times New Roman" w:eastAsia="宋体"/>
          <w:color w:val="FF0000"/>
        </w:rPr>
        <w:t>直接</w:t>
      </w:r>
      <w:r>
        <w:rPr>
          <w:rFonts w:hint="eastAsia" w:ascii="Times New Roman" w:hAnsi="Times New Roman" w:eastAsia="宋体"/>
          <w:color w:val="FF0000"/>
        </w:rPr>
        <w:t>粘贴</w:t>
      </w:r>
      <w:r>
        <w:rPr>
          <w:rFonts w:ascii="Times New Roman" w:hAnsi="Times New Roman" w:eastAsia="宋体"/>
          <w:color w:val="FF0000"/>
        </w:rPr>
        <w:t>代码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（一）设计交付物说明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说明所提交设计的目录层次，各目录下对应的内容是什么。提供所提交设计进行仿真、综合、上板演示的必要操作提示步骤。</w:t>
      </w:r>
    </w:p>
    <w:p>
      <w:pPr>
        <w:numPr>
          <w:ilvl w:val="0"/>
          <w:numId w:val="2"/>
        </w:numPr>
        <w:spacing w:before="78" w:beforeLines="25" w:after="78" w:afterLines="25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设计演示结果</w:t>
      </w:r>
    </w:p>
    <w:p>
      <w:pPr>
        <w:numPr>
          <w:ilvl w:val="0"/>
          <w:numId w:val="0"/>
        </w:numPr>
        <w:spacing w:before="78" w:beforeLines="25" w:after="78" w:afterLines="25"/>
      </w:pPr>
    </w:p>
    <w:p>
      <w:pPr>
        <w:numPr>
          <w:ilvl w:val="0"/>
          <w:numId w:val="0"/>
        </w:numPr>
        <w:spacing w:before="78" w:beforeLines="25" w:after="78" w:afterLines="25"/>
      </w:pPr>
    </w:p>
    <w:p>
      <w:pPr>
        <w:numPr>
          <w:ilvl w:val="0"/>
          <w:numId w:val="0"/>
        </w:numPr>
        <w:spacing w:before="78" w:beforeLines="25" w:after="78" w:afterLines="25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2328545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78" w:beforeLines="25" w:after="78" w:afterLines="25"/>
      </w:pPr>
      <w:r>
        <w:drawing>
          <wp:inline distT="0" distB="0" distL="114300" distR="114300">
            <wp:extent cx="5267960" cy="1875790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78" w:beforeLines="25" w:after="78" w:afterLines="25"/>
      </w:pPr>
      <w:r>
        <w:drawing>
          <wp:inline distT="0" distB="0" distL="114300" distR="114300">
            <wp:extent cx="5266690" cy="2027555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78" w:beforeLines="25" w:after="78" w:afterLines="25"/>
        <w:rPr>
          <w:rFonts w:hint="eastAsia"/>
        </w:rPr>
      </w:pPr>
      <w:r>
        <w:drawing>
          <wp:inline distT="0" distB="0" distL="114300" distR="114300">
            <wp:extent cx="5267960" cy="18669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="156" w:beforeLines="50" w:after="156" w:afterLines="50"/>
        <w:rPr>
          <w:rFonts w:hint="eastAsia"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参考设计说明</w:t>
      </w:r>
    </w:p>
    <w:p>
      <w:pPr>
        <w:numPr>
          <w:ilvl w:val="0"/>
          <w:numId w:val="4"/>
        </w:numPr>
        <w:spacing w:before="156" w:beforeLines="50" w:after="156" w:afterLines="50"/>
        <w:rPr>
          <w:rFonts w:hint="default" w:ascii="Times New Roman" w:hAnsi="Times New Roman" w:eastAsia="黑体"/>
          <w:sz w:val="24"/>
          <w:szCs w:val="20"/>
          <w:lang w:val="en-US" w:eastAsia="zh-CN"/>
        </w:rPr>
      </w:pP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t>串口控制和cache参考了2023年龙芯杯个人赛开源项目</w: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instrText xml:space="preserve"> HYPERLINK "https://github.com/ffhh927/NSCSCC-2023-mips" </w:instrTex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黑体"/>
          <w:sz w:val="24"/>
          <w:szCs w:val="20"/>
          <w:lang w:val="en-US" w:eastAsia="zh-CN"/>
        </w:rPr>
        <w:t>mycpu</w: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end"/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t>的设计</w:t>
      </w:r>
    </w:p>
    <w:p>
      <w:pPr>
        <w:numPr>
          <w:ilvl w:val="0"/>
          <w:numId w:val="4"/>
        </w:numPr>
        <w:spacing w:before="156" w:beforeLines="50" w:after="156" w:afterLines="50"/>
        <w:rPr>
          <w:rFonts w:hint="default" w:ascii="Times New Roman" w:hAnsi="Times New Roman" w:eastAsia="黑体"/>
          <w:sz w:val="24"/>
          <w:szCs w:val="20"/>
          <w:lang w:val="en-US" w:eastAsia="zh-CN"/>
        </w:rPr>
      </w:pP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t>五级流水线框架和接口参考了雷思磊的《自己动手写CPU》中的设计</w:t>
      </w:r>
    </w:p>
    <w:p>
      <w:pPr>
        <w:numPr>
          <w:ilvl w:val="0"/>
          <w:numId w:val="4"/>
        </w:numPr>
        <w:spacing w:before="156" w:beforeLines="50" w:after="156" w:afterLines="50"/>
        <w:rPr>
          <w:rFonts w:hint="default" w:ascii="Times New Roman" w:hAnsi="Times New Roman" w:eastAsia="黑体"/>
          <w:sz w:val="24"/>
          <w:szCs w:val="20"/>
          <w:lang w:val="en-US" w:eastAsia="zh-CN"/>
        </w:rPr>
      </w:pP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t>华莱士数乘法器部分参考了</w: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instrText xml:space="preserve"> HYPERLINK "https://blog.csdn.net/weixin_46191137/article/details/133694068" </w:instrTex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黑体"/>
          <w:sz w:val="24"/>
          <w:szCs w:val="20"/>
          <w:lang w:val="en-US" w:eastAsia="zh-CN"/>
        </w:rPr>
        <w:t>博客</w: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end"/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t>中的设计（最终提交版本未使用）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五、参考文献</w:t>
      </w:r>
    </w:p>
    <w:p>
      <w:pPr>
        <w:spacing w:line="320" w:lineRule="exact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列出设计报告中的参考或借鉴过的文献，具体如下：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参考文献一律用五号字，中文为宋体，英文为Times New Roman，行距16磅。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中文参考文献和英文参考文献中的标点符号均使用英文标点符。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参考文献应按文中引用出现的顺序连续编码，序号左顶格，并用数字加方括号表示，每一参考文献条目的最后均以“.”结束。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所有参考文献在正文中都必须被引用，同一处引用多篇文献时，将各篇文献的序号在方括号中全部列出，各序号间用“,”；如遇连续序号，可标起讫号“-”；同一文献在论著中被引用多次，只编1个号。如果文献的作用是对正文作解释，标注时文献序号连同方括号都要使用比正文字号小，并把它们放在右上方(作为上角标)；如果文献是作为句子的成分出现在正文之中，标注时文献序号连同方括号的字号要与正文的字号相同，并且把它们作为正文的一部分来书写(位置与正文平齐，不做为上角标)，另外要注意的是一定要方括号前面加上“文献”两个字。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A.连续出版物：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文献题名[J]. 刊名, 出版年份, 卷号(期号): 起止页码．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B.专著：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文献题名[M]. 出版地: 出版者, 出版年: 起止页码(可选项).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C.论文集：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文献题名[C]. 论文集名. 出版地: 出版者, 出版年: 起止页码.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D.学位论文：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文献题名[D]. 保存地: 保存单位, 年份.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E.报告：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文献题名[R]. 报告地: 报告会主办单位, 年份.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F.专利文献：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专利所有者. 专利题名[P]. 专利国别: 专利号, 发布日期.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G.国际、国家标准：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标准代号, 名称[S]. 出版地: 出版者, 出版年.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H.报纸文章：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文献题名[N]. 报纸名, 出版日期(版次).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I.电子文献：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电子文献题名[文献类型/文献载体]. 发表或更新日期(可选)[引用日期]. 获取和访问路径.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例如：</w:t>
      </w:r>
    </w:p>
    <w:p>
      <w:pPr>
        <w:spacing w:line="320" w:lineRule="exact"/>
        <w:rPr>
          <w:color w:val="FF0000"/>
        </w:rPr>
      </w:pPr>
      <w:r>
        <w:rPr>
          <w:color w:val="FF0000"/>
        </w:rPr>
        <w:t>[8] Fonda, Marc. Examining the New Polytheism: A Critical Assessment of the Concepts of Self and Gender in Archetypal Psychology[EB/OL]. 1995[1997-12-20] University of Ottawa, http://www.clas.ufl.edu/users/gthursby/fonda/dispg.html.</w:t>
      </w:r>
    </w:p>
    <w:p>
      <w:pPr>
        <w:spacing w:line="320" w:lineRule="exact"/>
        <w:rPr>
          <w:color w:val="FF0000"/>
        </w:rPr>
      </w:pPr>
      <w:r>
        <w:rPr>
          <w:color w:val="FF0000"/>
        </w:rPr>
        <w:t>[2] Online Computer Library Center, Inc. History of OCLC[EB/OL]. [2000-01-08]. http://www.oclc.org/about/history/default.htm.</w:t>
      </w:r>
    </w:p>
    <w:p/>
    <w:p>
      <w:pPr>
        <w:widowControl/>
        <w:jc w:val="left"/>
      </w:pPr>
      <w:r>
        <w:br w:type="page"/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格式补充说明</w:t>
      </w:r>
      <w:r>
        <w:rPr>
          <w:rFonts w:hint="eastAsia"/>
          <w:color w:val="FF0000"/>
          <w:sz w:val="24"/>
        </w:rPr>
        <w:t>：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1.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标题层次建议不超过四级，从第一级开始标号格式依次采用：一、二、三；（一）、（二）、（三）；1、2、3；（1）、（2）、（3）。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一级标题用小三号字，中文为黑体，英文为Times New Roman，单倍行距，段前段后各0.5行。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二级标题用四号字，中文为黑体，英文为Times New Roman，单倍行距，段前段后各0.25行。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三级标题用小四号字，中文为黑体，英文为Times New Roman，单倍行距。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四级标题用五号字，中文为黑体，英文为Times New Roman，单倍行距。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2.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正文用五号字，中文为宋体，英文为Times New Roman，1.5倍行距。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3.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所有图统一顺序标号，图标题紧挨在图的下方，居中，用小五号字，中文为宋体，英文为Times New Roman，单倍行距，段后0.5行。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4.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所有表统一顺序标号，图标题放在表的上方，居中，用小五号字，中文为宋体，英文为Times New Roman，单倍行距，段前0.5行。</w:t>
      </w:r>
    </w:p>
    <w:p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5.</w:t>
      </w:r>
      <w:r>
        <w:rPr>
          <w:rFonts w:hint="eastAsia"/>
          <w:b/>
          <w:color w:val="FF0000"/>
          <w:sz w:val="24"/>
        </w:rPr>
        <w:tab/>
      </w:r>
      <w:r>
        <w:rPr>
          <w:rFonts w:hint="eastAsia"/>
          <w:b/>
          <w:color w:val="FF0000"/>
          <w:sz w:val="24"/>
        </w:rPr>
        <w:t>报告形成后请删除本模板中所有红色文字。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0836797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440022"/>
    <w:multiLevelType w:val="singleLevel"/>
    <w:tmpl w:val="A44400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E7D78B"/>
    <w:multiLevelType w:val="singleLevel"/>
    <w:tmpl w:val="C6E7D78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473E33D"/>
    <w:multiLevelType w:val="singleLevel"/>
    <w:tmpl w:val="7473E33D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7D9F3E90"/>
    <w:multiLevelType w:val="singleLevel"/>
    <w:tmpl w:val="7D9F3E90"/>
    <w:lvl w:ilvl="0" w:tentative="0">
      <w:start w:val="2"/>
      <w:numFmt w:val="chineseCounting"/>
      <w:suff w:val="nothing"/>
      <w:lvlText w:val="（%1）"/>
      <w:lvlJc w:val="left"/>
      <w:rPr>
        <w:rFonts w:hint="eastAsia"/>
        <w:color w:val="auto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yOGQyODI3NTAyMDJjYmRjZmFkZWE1NDI5Y2Q4NDIifQ=="/>
  </w:docVars>
  <w:rsids>
    <w:rsidRoot w:val="006673F0"/>
    <w:rsid w:val="000377DD"/>
    <w:rsid w:val="00071833"/>
    <w:rsid w:val="000A1C80"/>
    <w:rsid w:val="00117B58"/>
    <w:rsid w:val="001C7C0F"/>
    <w:rsid w:val="001F49CF"/>
    <w:rsid w:val="0020297D"/>
    <w:rsid w:val="00227F9E"/>
    <w:rsid w:val="00230F7C"/>
    <w:rsid w:val="00242664"/>
    <w:rsid w:val="002845FB"/>
    <w:rsid w:val="002856CF"/>
    <w:rsid w:val="002E5931"/>
    <w:rsid w:val="003033DE"/>
    <w:rsid w:val="003404B6"/>
    <w:rsid w:val="00352118"/>
    <w:rsid w:val="00475909"/>
    <w:rsid w:val="005053F8"/>
    <w:rsid w:val="005151F1"/>
    <w:rsid w:val="00516DB4"/>
    <w:rsid w:val="00574E15"/>
    <w:rsid w:val="005C79BC"/>
    <w:rsid w:val="006254B8"/>
    <w:rsid w:val="006673F0"/>
    <w:rsid w:val="006E5FAC"/>
    <w:rsid w:val="006E6A26"/>
    <w:rsid w:val="00701358"/>
    <w:rsid w:val="007A5630"/>
    <w:rsid w:val="007D2436"/>
    <w:rsid w:val="00833A57"/>
    <w:rsid w:val="00874FBA"/>
    <w:rsid w:val="008E72FB"/>
    <w:rsid w:val="00972B1B"/>
    <w:rsid w:val="009E49C5"/>
    <w:rsid w:val="00A24BB6"/>
    <w:rsid w:val="00A35B43"/>
    <w:rsid w:val="00A60034"/>
    <w:rsid w:val="00AA337E"/>
    <w:rsid w:val="00B12249"/>
    <w:rsid w:val="00B32EC3"/>
    <w:rsid w:val="00B92113"/>
    <w:rsid w:val="00BA20C0"/>
    <w:rsid w:val="00C123E4"/>
    <w:rsid w:val="00C14B1F"/>
    <w:rsid w:val="00C32F7B"/>
    <w:rsid w:val="00CE0E5D"/>
    <w:rsid w:val="00D00C3E"/>
    <w:rsid w:val="00D03DF4"/>
    <w:rsid w:val="00D16B0C"/>
    <w:rsid w:val="00D52153"/>
    <w:rsid w:val="00DE157D"/>
    <w:rsid w:val="00E63FC0"/>
    <w:rsid w:val="00E925EA"/>
    <w:rsid w:val="00EA2958"/>
    <w:rsid w:val="00EA7B7C"/>
    <w:rsid w:val="00EC205C"/>
    <w:rsid w:val="00F11669"/>
    <w:rsid w:val="00F320C3"/>
    <w:rsid w:val="00F63188"/>
    <w:rsid w:val="00FF2858"/>
    <w:rsid w:val="02C47C5D"/>
    <w:rsid w:val="0CF75DEF"/>
    <w:rsid w:val="0EF66BAF"/>
    <w:rsid w:val="1BF55BDB"/>
    <w:rsid w:val="1CC278E2"/>
    <w:rsid w:val="24CF32FF"/>
    <w:rsid w:val="27361586"/>
    <w:rsid w:val="302768DA"/>
    <w:rsid w:val="3818013B"/>
    <w:rsid w:val="3B2A4F7F"/>
    <w:rsid w:val="3EEE62EE"/>
    <w:rsid w:val="43F7309A"/>
    <w:rsid w:val="467C17B9"/>
    <w:rsid w:val="5526220B"/>
    <w:rsid w:val="573B612C"/>
    <w:rsid w:val="59F760A3"/>
    <w:rsid w:val="6B1252E0"/>
    <w:rsid w:val="7AB27E85"/>
    <w:rsid w:val="7BF0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6"/>
      <w:szCs w:val="16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9592D-5DC7-F34F-96B5-FD726A00F7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EMC Corporation</Company>
  <Pages>4</Pages>
  <Words>331</Words>
  <Characters>1890</Characters>
  <Lines>15</Lines>
  <Paragraphs>4</Paragraphs>
  <TotalTime>11</TotalTime>
  <ScaleCrop>false</ScaleCrop>
  <LinksUpToDate>false</LinksUpToDate>
  <CharactersWithSpaces>2217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2020-05-24T07:19:00Z</dcterms:created>
  <dc:creator>QinZhen</dc:creator>
  <cp:lastModifiedBy>2022010576</cp:lastModifiedBy>
  <dcterms:modified xsi:type="dcterms:W3CDTF">2024-08-01T03:05:41Z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860E56D07F8E4E0B8FFEAF0326619F01_12</vt:lpwstr>
  </property>
</Properties>
</file>