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f2"/>
        <w:jc w:val="center"/>
      </w:pPr>
      <w:r>
        <w:rPr>
          <w:rFonts w:ascii="微软雅黑" w:hAnsi="微软雅黑" w:eastAsia="微软雅黑"/>
        </w:rPr>
        <w:t>HP Compass：基于 AHP-模糊综合评价的 Human Practices 决策支持模型</w:t>
      </w:r>
    </w:p>
    <w:p>
      <w:pPr>
        <w:jc w:val="center"/>
      </w:pPr>
      <w:r>
        <w:rPr>
          <w:rFonts w:ascii="微软雅黑" w:hAnsi="微软雅黑" w:eastAsia="微软雅黑"/>
          <w:color w:val="5C4A3A"/>
          <w:sz w:val="24"/>
        </w:rPr>
        <w:t>AMPlify · iGEM 2026 Conservation</w:t>
      </w:r>
    </w:p>
    <w:p>
      <w:pPr>
        <w:pStyle w:val="1"/>
        <w:jc w:val="left"/>
      </w:pPr>
      <w:r>
        <w:rPr>
          <w:rFonts w:ascii="微软雅黑" w:hAnsi="微软雅黑" w:eastAsia="微软雅黑"/>
        </w:rPr>
        <w:t>一、问题重述与模型假设</w:t>
      </w:r>
    </w:p>
    <w:p>
      <w:pPr>
        <w:spacing w:line="360" w:lineRule="auto"/>
        <w:ind w:firstLine="432"/>
      </w:pPr>
      <w:r>
        <w:rPr>
          <w:rFonts w:ascii="宋体" w:hAnsi="宋体" w:eastAsia="宋体"/>
          <w:b w:val="0"/>
        </w:rPr>
        <w:t>iGEM 竞赛中，Human Practices（HP）要求团队与外部利益相关者深入交流并迭代改进项目。团队面临的核心困难是：HP 反馈的优先级高低、成熟度深浅、模块关联强弱本质上均为边界模糊的概念——“高优先级”与“中优先级”之间不存在清晰的数值分界线，传统精确数学方法难以刻画这种模糊性。</w:t>
      </w:r>
    </w:p>
    <w:p>
      <w:pPr>
        <w:spacing w:line="360" w:lineRule="auto"/>
        <w:ind w:firstLine="432"/>
      </w:pPr>
      <w:r>
        <w:rPr>
          <w:rFonts w:ascii="宋体" w:hAnsi="宋体" w:eastAsia="宋体"/>
          <w:b w:val="0"/>
        </w:rPr>
        <w:t>给定语料 D = {D₁, …, D_N}（N 份 .docx 访谈记录），模型需完成：（1）结构化信息提取；（2）反馈的模块模糊隶属度分类；（3）闭环状态判定；（4）基于 AHP-FCE 的优先级量化排序；（5）六维成熟度模糊评估；（6）行动推荐；（7）知识图谱构建；（8）回访延伸识别与合并。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</w:rPr>
        <w:t>模型采用双层架构：文本解析层由大语言模型完成语义理解，决策计算层为确定性数学模型完成模糊评价与图分析。基本假设：</w:t>
      </w:r>
    </w:p>
    <w:tbl>
      <w:tblPr>
        <w:tblStyle w:val="af4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040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假设</w:t>
            </w:r>
          </w:p>
        </w:tc>
        <w:tc>
          <w:tcPr>
            <w:tcW w:type="dxa" w:w="5040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5040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双层分工</w:t>
            </w:r>
          </w:p>
        </w:tc>
        <w:tc>
          <w:tcPr>
            <w:tcW w:type="dxa" w:w="504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LLM 层输出语义判断（结构化字段、四梯度等级、行动/证据/回访布尔），数学层完成隶属度合成、AHP 赋权、FCE 计算与图分析</w:t>
            </w:r>
          </w:p>
        </w:tc>
      </w:tr>
      <w:tr>
        <w:tc>
          <w:tcPr>
            <w:tcW w:type="dxa" w:w="5040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完全可审计</w:t>
            </w:r>
          </w:p>
        </w:tc>
        <w:tc>
          <w:tcPr>
            <w:tcW w:type="dxa" w:w="504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每个隶属度可追溯到输入因子与隶属函数参数 (a,b,c,d)；每个权重可追溯到 AHP 判断矩阵元素；LLM 原始输出全部存档</w:t>
            </w:r>
          </w:p>
        </w:tc>
      </w:tr>
      <w:tr>
        <w:tc>
          <w:tcPr>
            <w:tcW w:type="dxa" w:w="5040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模糊边界可量化</w:t>
            </w:r>
          </w:p>
        </w:tc>
        <w:tc>
          <w:tcPr>
            <w:tcW w:type="dxa" w:w="504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HP 评价中的模糊概念通过隶属函数量化（Zadeh 模糊集合理论）</w:t>
            </w:r>
          </w:p>
        </w:tc>
      </w:tr>
      <w:tr>
        <w:tc>
          <w:tcPr>
            <w:tcW w:type="dxa" w:w="5040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小样本参数化</w:t>
            </w:r>
          </w:p>
        </w:tc>
        <w:tc>
          <w:tcPr>
            <w:tcW w:type="dxa" w:w="504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N 远小于统计学习样本量，模型参数由团队结合 iGEM HP 评审标准讨论设定，并经敏感性分析验证</w:t>
            </w:r>
          </w:p>
        </w:tc>
      </w:tr>
    </w:tbl>
    <w:p>
      <w:pPr>
        <w:pStyle w:val="1"/>
        <w:jc w:val="left"/>
      </w:pPr>
      <w:r>
        <w:rPr>
          <w:rFonts w:ascii="微软雅黑" w:hAnsi="微软雅黑" w:eastAsia="微软雅黑"/>
        </w:rPr>
        <w:t>二、数据预处理</w:t>
      </w:r>
    </w:p>
    <w:p>
      <w:pPr>
        <w:spacing w:line="360" w:lineRule="auto"/>
        <w:ind w:firstLine="432"/>
      </w:pPr>
      <w:r>
        <w:rPr>
          <w:rFonts w:ascii="宋体" w:hAnsi="宋体" w:eastAsia="宋体"/>
          <w:b w:val="0"/>
        </w:rPr>
        <w:t>（一）结构化提取（LLM）。大模型通读访谈全文，直接提炼 8 个结构化字段：日期、利益相关者（机构+身份）、类型（兽医临床/家畜专家/AI 专家/湿实验专家/环境微生物专家/养殖端/公众教育/iGEM 交流）、初始问题、核心反馈、项目修改、证据列表、回访标记；并输出三个语义判断布尔——has_action（是否已做出实际修改，计划不算）、has_evidence（是否有实质证据支撑，提及打算做的不算）、returned（是否完成二轮确认），以及 is_extension_of（是否为某条已有记录的回访延伸）。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</w:rPr>
        <w:t>（二）闭环状态判定（LLM 语义 + 数学组合）。闭环状态集 L = {0,1,2,3,4} 为严格全序离散空间，判定函数采用最大达成原则：</w:t>
      </w:r>
    </w:p>
    <w:p>
      <w:pPr>
        <w:spacing w:before="80" w:after="80"/>
        <w:ind w:firstLine="0"/>
        <w:jc w:val="center"/>
      </w:pPr>
      <m:oMath xmlns:a="http://schemas.openxmlformats.org/drawingml/2006/main" xmlns:pic="http://schemas.openxmlformats.org/drawingml/2006/picture">
        <m:r>
          <m:t>ℓ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_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_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</w:p>
    <w:p>
      <w:pPr>
        <w:spacing w:line="360" w:lineRule="auto"/>
        <w:ind w:firstLine="432"/>
      </w:pPr>
      <w:r>
        <w:rPr>
          <w:rFonts w:ascii="宋体" w:hAnsi="宋体" w:eastAsia="宋体"/>
          <w:b w:val="0"/>
        </w:rPr>
        <w:t>（feedback 为空时 ℓ = 0）</w:t>
      </w:r>
    </w:p>
    <w:tbl>
      <w:tblPr>
        <w:tblStyle w:val="af4"/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1872"/>
        <w:gridCol w:w="7200"/>
      </w:tblGrid>
      <w:tr>
        <w:tc>
          <w:tcPr>
            <w:tcW w:type="dxa" w:w="3360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3360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3360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3360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L0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已记录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仅有访谈记录，未提炼出反馈</w:t>
            </w:r>
          </w:p>
        </w:tc>
      </w:tr>
      <w:tr>
        <w:tc>
          <w:tcPr>
            <w:tcW w:type="dxa" w:w="3360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L1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已提炼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核心反馈已提取</w:t>
            </w:r>
          </w:p>
        </w:tc>
      </w:tr>
      <w:tr>
        <w:tc>
          <w:tcPr>
            <w:tcW w:type="dxa" w:w="3360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L2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已行动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已做出实际项目修改（语义判断，计划不算）</w:t>
            </w:r>
          </w:p>
        </w:tc>
      </w:tr>
      <w:tr>
        <w:tc>
          <w:tcPr>
            <w:tcW w:type="dxa" w:w="3360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L3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有证据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修改有实质证据支撑（语义判断，提及不算）</w:t>
            </w:r>
          </w:p>
        </w:tc>
      </w:tr>
      <w:tr>
        <w:tc>
          <w:tcPr>
            <w:tcW w:type="dxa" w:w="3360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L4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已回访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已完成二轮确认</w:t>
            </w:r>
          </w:p>
        </w:tc>
      </w:tr>
    </w:tbl>
    <w:p>
      <w:pPr>
        <w:spacing w:line="360" w:lineRule="auto"/>
        <w:ind w:firstLine="432"/>
      </w:pPr>
      <w:r>
        <w:rPr>
          <w:rFonts w:ascii="宋体" w:hAnsi="宋体" w:eastAsia="宋体"/>
          <w:b w:val="0"/>
        </w:rPr>
        <w:t>证据强度定义为证据项权重的均值（权重：MIC=1.0、溶血=1.0、CCK-8=1.0、TEM=1.0、质谱=1.0、MD=0.85、理化性质=0.75、软件面板=0.80、报告=0.65、文献=0.60、访谈记录=0.55）：</w:t>
      </w:r>
    </w:p>
    <w:p>
      <w:pPr>
        <w:spacing w:before="80" w:after="80"/>
        <w:ind w:firstLine="0"/>
        <w:jc w:val="center"/>
      </w:pPr>
      <m:oMath xmlns:a="http://schemas.openxmlformats.org/drawingml/2006/main" xmlns:pic="http://schemas.openxmlformats.org/drawingml/2006/picture">
        <m:sSub>
          <m:e>
            <m:r>
              <m:t>σ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|</m:t>
            </m:r>
            <m:r>
              <m:t>E</m:t>
            </m:r>
            <m:r>
              <m:rPr>
                <m:sty m:val="p"/>
              </m:rPr>
              <m:t>|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σ</m:t>
            </m:r>
          </m:e>
        </m:nary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</w:p>
    <w:p>
      <w:pPr>
        <w:pStyle w:val="1"/>
        <w:jc w:val="left"/>
      </w:pPr>
      <w:r>
        <w:rPr>
          <w:rFonts w:ascii="微软雅黑" w:hAnsi="微软雅黑" w:eastAsia="微软雅黑"/>
        </w:rPr>
        <w:t>三、模糊隶属度多标签分类</w:t>
      </w:r>
    </w:p>
    <w:p>
      <w:pPr>
        <w:spacing w:line="360" w:lineRule="auto"/>
        <w:ind w:firstLine="432"/>
      </w:pPr>
      <w:r>
        <w:rPr>
          <w:rFonts w:ascii="宋体" w:hAnsi="宋体" w:eastAsia="宋体"/>
          <w:b w:val="0"/>
        </w:rPr>
        <w:t>HP 反馈通常同时关联多个项目模块，且关联程度是渐变的。对每个模块 c ∈ C（|C| = 9），输出模糊隶属度，得到 9 维隶属度向量。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</w:rPr>
        <w:t>（一）LLM 模式（主路径）。大模型按语义对 9 个模块输出四梯度等级，映射为代表性数值：</w:t>
      </w:r>
    </w:p>
    <w:p>
      <w:pPr>
        <w:spacing w:before="80" w:after="80"/>
        <w:ind w:firstLine="0"/>
        <w:jc w:val="center"/>
      </w:pPr>
      <m:oMath xmlns:a="http://schemas.openxmlformats.org/drawingml/2006/main" xmlns:pic="http://schemas.openxmlformats.org/drawingml/2006/picture">
        <m:r>
          <m:rPr>
            <m:nor/>
            <m:sty m:val="p"/>
          </m:rPr>
          <m:t>无</m:t>
        </m:r>
        <m:r>
          <m:rPr>
            <m:sty m:val="p"/>
          </m:rPr>
          <m:t>→</m:t>
        </m:r>
        <m:r>
          <m:t>0.0</m:t>
        </m:r>
        <m:r>
          <m:rPr>
            <m:sty m:val="p"/>
          </m:rPr>
          <m:t>,</m:t>
        </m:r>
        <m:r>
          <m:t> </m:t>
        </m:r>
        <m:r>
          <m:rPr>
            <m:nor/>
            <m:sty m:val="p"/>
          </m:rPr>
          <m:t>弱</m:t>
        </m:r>
        <m:r>
          <m:rPr>
            <m:sty m:val="p"/>
          </m:rPr>
          <m:t>→</m:t>
        </m:r>
        <m:r>
          <m:t>0.35</m:t>
        </m:r>
        <m:r>
          <m:rPr>
            <m:sty m:val="p"/>
          </m:rPr>
          <m:t>,</m:t>
        </m:r>
        <m:r>
          <m:t> </m:t>
        </m:r>
        <m:r>
          <m:rPr>
            <m:nor/>
            <m:sty m:val="p"/>
          </m:rPr>
          <m:t>中</m:t>
        </m:r>
        <m:r>
          <m:rPr>
            <m:sty m:val="p"/>
          </m:rPr>
          <m:t>→</m:t>
        </m:r>
        <m:r>
          <m:t>0.7</m:t>
        </m:r>
        <m:r>
          <m:rPr>
            <m:sty m:val="p"/>
          </m:rPr>
          <m:t>,</m:t>
        </m:r>
        <m:r>
          <m:t> </m:t>
        </m:r>
        <m:r>
          <m:rPr>
            <m:nor/>
            <m:sty m:val="p"/>
          </m:rPr>
          <m:t>强</m:t>
        </m:r>
        <m:r>
          <m:rPr>
            <m:sty m:val="p"/>
          </m:rPr>
          <m:t>→</m:t>
        </m:r>
        <m:r>
          <m:t>1.0</m:t>
        </m:r>
      </m:oMath>
    </w:p>
    <w:p>
      <w:pPr>
        <w:spacing w:line="360" w:lineRule="auto"/>
        <w:ind w:firstLine="432"/>
      </w:pPr>
      <w:r>
        <w:rPr>
          <w:rFonts w:ascii="宋体" w:hAnsi="宋体" w:eastAsia="宋体"/>
          <w:b w:val="0"/>
        </w:rPr>
        <w:t>数值直接作为模块隶属度 μ_c —— 大模型即语义隶属函数。这一设计避免了关键词命中密度无法区分“反复提及浅层概念”与“高度凝练的专业判断”的缺陷，同时保留隶属度的渐变信息供下游 FCE 使用。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</w:rPr>
        <w:t>（二）规则模式（无 API Key 时）。以特征词命中密度为输入，经升半梯形隶属函数输出：</w:t>
      </w:r>
    </w:p>
    <w:p>
      <w:pPr>
        <w:spacing w:before="80" w:after="80"/>
        <w:ind w:firstLine="0"/>
        <w:jc w:val="center"/>
      </w:pPr>
      <m:oMath xmlns:a="http://schemas.openxmlformats.org/drawingml/2006/main" xmlns:pic="http://schemas.openxmlformats.org/drawingml/2006/picture"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M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|</m:t>
        </m: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|</m:t>
        </m:r>
      </m:oMath>
    </w:p>
    <w:p>
      <w:pPr>
        <w:spacing w:before="80" w:after="80"/>
        <w:ind w:firstLine="0"/>
        <w:jc w:val="center"/>
      </w:pPr>
      <m:oMath xmlns:a="http://schemas.openxmlformats.org/drawingml/2006/main" xmlns:pic="http://schemas.openxmlformats.org/drawingml/2006/picture"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nor/>
                      <m:sty m:val="p"/>
                    </m:rPr>
                    <m:t>if 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mr>
              <m:m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den>
                  </m:f>
                </m:e>
                <m:e>
                  <m:r>
                    <m:rPr>
                      <m:nor/>
                      <m:sty m:val="p"/>
                    </m:rPr>
                    <m:t>if 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nor/>
                      <m:sty m:val="p"/>
                    </m:rPr>
                    <m:t>if 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mr>
            </m:m>
          </m:e>
        </m:d>
      </m:oMath>
    </w:p>
    <w:p>
      <w:pPr>
        <w:spacing w:line="360" w:lineRule="auto"/>
        <w:ind w:firstLine="432"/>
      </w:pPr>
      <w:r>
        <w:rPr>
          <w:rFonts w:ascii="宋体" w:hAnsi="宋体" w:eastAsia="宋体"/>
          <w:b w:val="0"/>
        </w:rPr>
        <w:t>其中 T* 为所有提取文本字段的拼接，M_c(T*) 为命中词集合。参数 (α_c, β_c) 由 AMPlify 全体成员分模块投票后计算所得：α_c 为“开始被认为相关”的最低命中密度，β_c 为“完全确认相关”的饱和密度：</w:t>
      </w:r>
    </w:p>
    <w:tbl>
      <w:tblPr>
        <w:tblStyle w:val="af4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864"/>
        <w:gridCol w:w="864"/>
        <w:gridCol w:w="864"/>
        <w:gridCol w:w="2160"/>
        <w:gridCol w:w="864"/>
        <w:gridCol w:w="864"/>
        <w:gridCol w:w="864"/>
      </w:tblGrid>
      <w:tr>
        <w:tc>
          <w:tcPr>
            <w:tcW w:type="dxa" w:w="1260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1260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|K_c|</w:t>
            </w:r>
          </w:p>
        </w:tc>
        <w:tc>
          <w:tcPr>
            <w:tcW w:type="dxa" w:w="1260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α_c</w:t>
            </w:r>
          </w:p>
        </w:tc>
        <w:tc>
          <w:tcPr>
            <w:tcW w:type="dxa" w:w="1260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β_c</w:t>
            </w:r>
          </w:p>
        </w:tc>
        <w:tc>
          <w:tcPr>
            <w:tcW w:type="dxa" w:w="1260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1260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|K_c|</w:t>
            </w:r>
          </w:p>
        </w:tc>
        <w:tc>
          <w:tcPr>
            <w:tcW w:type="dxa" w:w="1260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α_c</w:t>
            </w:r>
          </w:p>
        </w:tc>
        <w:tc>
          <w:tcPr>
            <w:tcW w:type="dxa" w:w="1260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β_c</w:t>
            </w:r>
          </w:p>
        </w:tc>
      </w:tr>
      <w:tr>
        <w:tc>
          <w:tcPr>
            <w:tcW w:type="dxa" w:w="1260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Safety</w:t>
            </w:r>
          </w:p>
        </w:tc>
        <w:tc>
          <w:tcPr>
            <w:tcW w:type="dxa" w:w="12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13</w:t>
            </w:r>
          </w:p>
        </w:tc>
        <w:tc>
          <w:tcPr>
            <w:tcW w:type="dxa" w:w="12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0.08</w:t>
            </w:r>
          </w:p>
        </w:tc>
        <w:tc>
          <w:tcPr>
            <w:tcW w:type="dxa" w:w="12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0.25</w:t>
            </w:r>
          </w:p>
        </w:tc>
        <w:tc>
          <w:tcPr>
            <w:tcW w:type="dxa" w:w="12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Model</w:t>
            </w:r>
          </w:p>
        </w:tc>
        <w:tc>
          <w:tcPr>
            <w:tcW w:type="dxa" w:w="12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12</w:t>
            </w:r>
          </w:p>
        </w:tc>
        <w:tc>
          <w:tcPr>
            <w:tcW w:type="dxa" w:w="12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0.08</w:t>
            </w:r>
          </w:p>
        </w:tc>
        <w:tc>
          <w:tcPr>
            <w:tcW w:type="dxa" w:w="12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0.25</w:t>
            </w:r>
          </w:p>
        </w:tc>
      </w:tr>
      <w:tr>
        <w:tc>
          <w:tcPr>
            <w:tcW w:type="dxa" w:w="1260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Implementation</w:t>
            </w:r>
          </w:p>
        </w:tc>
        <w:tc>
          <w:tcPr>
            <w:tcW w:type="dxa" w:w="12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11</w:t>
            </w:r>
          </w:p>
        </w:tc>
        <w:tc>
          <w:tcPr>
            <w:tcW w:type="dxa" w:w="12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0.09</w:t>
            </w:r>
          </w:p>
        </w:tc>
        <w:tc>
          <w:tcPr>
            <w:tcW w:type="dxa" w:w="12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0.3</w:t>
            </w:r>
          </w:p>
        </w:tc>
        <w:tc>
          <w:tcPr>
            <w:tcW w:type="dxa" w:w="12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Material</w:t>
            </w:r>
          </w:p>
        </w:tc>
        <w:tc>
          <w:tcPr>
            <w:tcW w:type="dxa" w:w="12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11</w:t>
            </w:r>
          </w:p>
        </w:tc>
        <w:tc>
          <w:tcPr>
            <w:tcW w:type="dxa" w:w="12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0.09</w:t>
            </w:r>
          </w:p>
        </w:tc>
        <w:tc>
          <w:tcPr>
            <w:tcW w:type="dxa" w:w="12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0.3</w:t>
            </w:r>
          </w:p>
        </w:tc>
      </w:tr>
      <w:tr>
        <w:tc>
          <w:tcPr>
            <w:tcW w:type="dxa" w:w="1260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Problem Definition</w:t>
            </w:r>
          </w:p>
        </w:tc>
        <w:tc>
          <w:tcPr>
            <w:tcW w:type="dxa" w:w="12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10</w:t>
            </w:r>
          </w:p>
        </w:tc>
        <w:tc>
          <w:tcPr>
            <w:tcW w:type="dxa" w:w="12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0.1</w:t>
            </w:r>
          </w:p>
        </w:tc>
        <w:tc>
          <w:tcPr>
            <w:tcW w:type="dxa" w:w="12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0.33</w:t>
            </w:r>
          </w:p>
        </w:tc>
        <w:tc>
          <w:tcPr>
            <w:tcW w:type="dxa" w:w="12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Environment</w:t>
            </w:r>
          </w:p>
        </w:tc>
        <w:tc>
          <w:tcPr>
            <w:tcW w:type="dxa" w:w="12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10</w:t>
            </w:r>
          </w:p>
        </w:tc>
        <w:tc>
          <w:tcPr>
            <w:tcW w:type="dxa" w:w="12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0.1</w:t>
            </w:r>
          </w:p>
        </w:tc>
        <w:tc>
          <w:tcPr>
            <w:tcW w:type="dxa" w:w="12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0.33</w:t>
            </w:r>
          </w:p>
        </w:tc>
      </w:tr>
      <w:tr>
        <w:tc>
          <w:tcPr>
            <w:tcW w:type="dxa" w:w="1260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Software</w:t>
            </w:r>
          </w:p>
        </w:tc>
        <w:tc>
          <w:tcPr>
            <w:tcW w:type="dxa" w:w="12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9</w:t>
            </w:r>
          </w:p>
        </w:tc>
        <w:tc>
          <w:tcPr>
            <w:tcW w:type="dxa" w:w="12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0.11</w:t>
            </w:r>
          </w:p>
        </w:tc>
        <w:tc>
          <w:tcPr>
            <w:tcW w:type="dxa" w:w="12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0.38</w:t>
            </w:r>
          </w:p>
        </w:tc>
        <w:tc>
          <w:tcPr>
            <w:tcW w:type="dxa" w:w="12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Education</w:t>
            </w:r>
          </w:p>
        </w:tc>
        <w:tc>
          <w:tcPr>
            <w:tcW w:type="dxa" w:w="12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9</w:t>
            </w:r>
          </w:p>
        </w:tc>
        <w:tc>
          <w:tcPr>
            <w:tcW w:type="dxa" w:w="12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0.11</w:t>
            </w:r>
          </w:p>
        </w:tc>
        <w:tc>
          <w:tcPr>
            <w:tcW w:type="dxa" w:w="12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0.38</w:t>
            </w:r>
          </w:p>
        </w:tc>
      </w:tr>
      <w:tr>
        <w:tc>
          <w:tcPr>
            <w:tcW w:type="dxa" w:w="1260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Social Media</w:t>
            </w:r>
          </w:p>
        </w:tc>
        <w:tc>
          <w:tcPr>
            <w:tcW w:type="dxa" w:w="12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9</w:t>
            </w:r>
          </w:p>
        </w:tc>
        <w:tc>
          <w:tcPr>
            <w:tcW w:type="dxa" w:w="12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0.11</w:t>
            </w:r>
          </w:p>
        </w:tc>
        <w:tc>
          <w:tcPr>
            <w:tcW w:type="dxa" w:w="12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0.38</w:t>
            </w:r>
          </w:p>
        </w:tc>
        <w:tc>
          <w:tcPr>
            <w:tcW w:type="dxa" w:w="12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</w:r>
          </w:p>
        </w:tc>
        <w:tc>
          <w:tcPr>
            <w:tcW w:type="dxa" w:w="12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</w:r>
          </w:p>
        </w:tc>
        <w:tc>
          <w:tcPr>
            <w:tcW w:type="dxa" w:w="12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</w:r>
          </w:p>
        </w:tc>
        <w:tc>
          <w:tcPr>
            <w:tcW w:type="dxa" w:w="12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</w:r>
          </w:p>
        </w:tc>
      </w:tr>
    </w:tbl>
    <w:p>
      <w:pPr>
        <w:pStyle w:val="1"/>
        <w:jc w:val="left"/>
      </w:pPr>
      <w:r>
        <w:rPr>
          <w:rFonts w:ascii="微软雅黑" w:hAnsi="微软雅黑" w:eastAsia="微软雅黑"/>
        </w:rPr>
        <w:t>四、基于 AHP-FCE 的优先级评价</w:t>
      </w:r>
    </w:p>
    <w:p>
      <w:pPr>
        <w:spacing w:line="360" w:lineRule="auto"/>
        <w:ind w:firstLine="432"/>
      </w:pPr>
      <w:r>
        <w:rPr>
          <w:rFonts w:ascii="宋体" w:hAnsi="宋体" w:eastAsia="宋体"/>
          <w:b w:val="0"/>
        </w:rPr>
        <w:t>优先级评价是本模型的核心环节，采用二级模糊综合评价结构，权重通过层次分析法（AHP）由专家判断矩阵导出，同时使用熵权法辅助判断各因子在数据中的实际区分度。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</w:rPr>
        <w:t>（一）因素集与评语集</w:t>
      </w:r>
    </w:p>
    <w:p>
      <w:pPr>
        <w:spacing w:before="80" w:after="80"/>
        <w:ind w:firstLine="0"/>
        <w:jc w:val="center"/>
      </w:pPr>
      <m:oMath xmlns:a="http://schemas.openxmlformats.org/drawingml/2006/main" xmlns:pic="http://schemas.openxmlformats.org/drawingml/2006/picture"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}</m:t>
        </m:r>
        <m:r>
          <m:t> </m:t>
        </m:r>
        <m:r>
          <m:rPr>
            <m:sty m:val="p"/>
          </m:rPr>
          <m:t>(</m:t>
        </m:r>
        <m:r>
          <m:rPr>
            <m:nor/>
            <m:sty m:val="p"/>
          </m:rPr>
          <m:t>内部紧迫性</m:t>
        </m:r>
        <m:r>
          <m:rPr>
            <m:sty m:val="p"/>
          </m:rPr>
          <m:t>)</m:t>
        </m:r>
      </m:oMath>
    </w:p>
    <w:p>
      <w:pPr>
        <w:spacing w:before="80" w:after="80"/>
        <w:ind w:firstLine="0"/>
        <w:jc w:val="center"/>
      </w:pPr>
      <m:oMath xmlns:a="http://schemas.openxmlformats.org/drawingml/2006/main" xmlns:pic="http://schemas.openxmlformats.org/drawingml/2006/picture"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}</m:t>
        </m:r>
        <m:r>
          <m:t> </m:t>
        </m:r>
        <m:r>
          <m:rPr>
            <m:sty m:val="p"/>
          </m:rPr>
          <m:t>(</m:t>
        </m:r>
        <m:r>
          <m:rPr>
            <m:nor/>
            <m:sty m:val="p"/>
          </m:rPr>
          <m:t>外部约束</m:t>
        </m:r>
        <m:r>
          <m:rPr>
            <m:sty m:val="p"/>
          </m:rPr>
          <m:t>)</m:t>
        </m:r>
      </m:oMath>
    </w:p>
    <w:p>
      <w:pPr>
        <w:spacing w:before="80" w:after="80"/>
        <w:ind w:firstLine="0"/>
        <w:jc w:val="center"/>
      </w:pPr>
      <m:oMath xmlns:a="http://schemas.openxmlformats.org/drawingml/2006/main" xmlns:pic="http://schemas.openxmlformats.org/drawingml/2006/picture">
        <m:r>
          <m:t>V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4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nor/>
            <m:sty m:val="p"/>
          </m:rPr>
          <m:t>低</m:t>
        </m:r>
        <m:r>
          <m:rPr>
            <m:sty m:val="p"/>
          </m:rPr>
          <m:t>,</m:t>
        </m:r>
        <m:r>
          <m:rPr>
            <m:nor/>
            <m:sty m:val="p"/>
          </m:rPr>
          <m:t>中</m:t>
        </m:r>
        <m:r>
          <m:rPr>
            <m:sty m:val="p"/>
          </m:rPr>
          <m:t>,</m:t>
        </m:r>
        <m:r>
          <m:rPr>
            <m:nor/>
            <m:sty m:val="p"/>
          </m:rPr>
          <m:t>高</m:t>
        </m:r>
        <m:r>
          <m:rPr>
            <m:sty m:val="p"/>
          </m:rPr>
          <m:t>,</m:t>
        </m:r>
        <m:r>
          <m:rPr>
            <m:nor/>
            <m:sty m:val="p"/>
          </m:rPr>
          <m:t>紧急</m:t>
        </m:r>
        <m:r>
          <m:rPr>
            <m:sty m:val="p"/>
          </m:rPr>
          <m:t>}</m:t>
        </m:r>
      </m:oMath>
    </w:p>
    <w:p>
      <w:pPr>
        <w:spacing w:before="80" w:after="80"/>
        <w:ind w:firstLine="0"/>
        <w:jc w:val="center"/>
      </w:pPr>
      <m:oMath xmlns:a="http://schemas.openxmlformats.org/drawingml/2006/main" xmlns:pic="http://schemas.openxmlformats.org/drawingml/2006/picture"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0.20</m:t>
        </m:r>
        <m:r>
          <m:rPr>
            <m:sty m:val="p"/>
          </m:rPr>
          <m:t>,</m:t>
        </m:r>
        <m:r>
          <m:t>0.45</m:t>
        </m:r>
        <m:r>
          <m:rPr>
            <m:sty m:val="p"/>
          </m:rPr>
          <m:t>,</m:t>
        </m:r>
        <m:r>
          <m:t>0.72</m:t>
        </m:r>
        <m:r>
          <m:rPr>
            <m:sty m:val="p"/>
          </m:rPr>
          <m:t>,</m:t>
        </m:r>
        <m:r>
          <m:t>0.95</m:t>
        </m:r>
        <m:r>
          <m:rPr>
            <m:sty m:val="p"/>
          </m:rPr>
          <m:t>)</m:t>
        </m:r>
      </m:oMath>
    </w:p>
    <w:p>
      <w:pPr>
        <w:spacing w:line="360" w:lineRule="auto"/>
        <w:ind w:firstLine="432"/>
      </w:pPr>
      <w:r>
        <w:rPr>
          <w:rFonts w:ascii="宋体" w:hAnsi="宋体" w:eastAsia="宋体"/>
          <w:b w:val="0"/>
        </w:rPr>
        <w:t>量化分向量间距设计反映等级语义跳跃的非均匀性：从“低”到“中”（+0.25）与从“高”到“紧急”（+0.23）相近，从“中”到“高”（+0.27）略大——“高优先级”需要更明显的证据跨越。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</w:rPr>
        <w:t>（二）六因子定义</w:t>
      </w:r>
    </w:p>
    <w:p>
      <w:pPr>
        <w:spacing w:before="80" w:after="80"/>
        <w:ind w:firstLine="0"/>
        <w:jc w:val="center"/>
      </w:pPr>
      <m:oMath xmlns:a="http://schemas.openxmlformats.org/drawingml/2006/main" xmlns:pic="http://schemas.openxmlformats.org/drawingml/2006/picture"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ℓ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−</m:t>
            </m:r>
            <m:r>
              <m:t>ℓ</m:t>
            </m:r>
          </m:num>
          <m:den>
            <m:r>
              <m:t>4</m:t>
            </m:r>
          </m:den>
        </m:f>
        <m:r>
          <m:rPr>
            <m:sty m:val="p"/>
          </m:rPr>
          <m:t>∈</m:t>
        </m:r>
        <m:r>
          <m:rPr>
            <m:sty m:val="p"/>
          </m:rPr>
          <m:t>{</m:t>
        </m:r>
        <m:r>
          <m:t>1.00</m:t>
        </m:r>
        <m:r>
          <m:rPr>
            <m:sty m:val="p"/>
          </m:rPr>
          <m:t>,</m:t>
        </m:r>
        <m:r>
          <m:t>0.75</m:t>
        </m:r>
        <m:r>
          <m:rPr>
            <m:sty m:val="p"/>
          </m:rPr>
          <m:t>,</m:t>
        </m:r>
        <m:r>
          <m:t>0.50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0.00</m:t>
        </m:r>
        <m:r>
          <m:rPr>
            <m:sty m:val="p"/>
          </m:rPr>
          <m:t>}</m:t>
        </m:r>
        <m:r>
          <m:t> </m:t>
        </m:r>
        <m:r>
          <m:rPr>
            <m:nor/>
            <m:sty m:val="p"/>
          </m:rPr>
          <m:t>—— 闭环缺口，线性衰减</m:t>
        </m:r>
      </m:oMath>
    </w:p>
    <w:p>
      <w:pPr>
        <w:spacing w:before="80" w:after="80"/>
        <w:ind w:firstLine="0"/>
        <w:jc w:val="center"/>
      </w:pPr>
      <m:oMath xmlns:a="http://schemas.openxmlformats.org/drawingml/2006/main" xmlns:pic="http://schemas.openxmlformats.org/drawingml/2006/picture"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c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e>
                </m:nary>
              </m:num>
              <m:den>
                <m:r>
                  <m:t>4</m:t>
                </m:r>
              </m:den>
            </m:f>
          </m:e>
        </m:d>
        <m:r>
          <m:t> </m:t>
        </m:r>
        <m:r>
          <m:rPr>
            <m:nor/>
            <m:sty m:val="p"/>
          </m:rPr>
          <m:t>—— 跨模块影响广度，隶属度加权和</m:t>
        </m:r>
      </m:oMath>
    </w:p>
    <w:p>
      <w:pPr>
        <w:spacing w:before="80" w:after="80"/>
        <w:ind w:firstLine="0"/>
        <w:jc w:val="center"/>
      </w:pPr>
      <m:oMath xmlns:a="http://schemas.openxmlformats.org/drawingml/2006/main" xmlns:pic="http://schemas.openxmlformats.org/drawingml/2006/picture"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c</m:t>
            </m:r>
            <m:r>
              <m:rPr>
                <m:sty m:val="p"/>
              </m:rPr>
              <m:t>:</m:t>
            </m:r>
            <m:sSub>
              <m:e>
                <m:r>
                  <m:t>μ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&gt;</m:t>
            </m:r>
            <m:r>
              <m:t>0</m:t>
            </m:r>
          </m:sub>
        </m:sSub>
        <m:r>
          <m:t>κ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t>μ</m:t>
            </m:r>
          </m:e>
          <m:sub>
            <m:r>
              <m:t>c</m:t>
            </m:r>
          </m:sub>
        </m:sSub>
        <m:r>
          <m:t> </m:t>
        </m:r>
        <m:r>
          <m:rPr>
            <m:nor/>
            <m:sty m:val="p"/>
          </m:rPr>
          <m:t>—— 模块关键性，隶属度加权最大</m:t>
        </m:r>
      </m:oMath>
    </w:p>
    <w:p>
      <w:pPr>
        <w:spacing w:before="80" w:after="80"/>
        <w:ind w:firstLine="0"/>
        <w:jc w:val="center"/>
      </w:pPr>
      <m:oMath xmlns:a="http://schemas.openxmlformats.org/drawingml/2006/main" xmlns:pic="http://schemas.openxmlformats.org/drawingml/2006/picture"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0.20</m:t>
                  </m:r>
                </m:e>
                <m:e>
                  <m:r>
                    <m:t>d</m:t>
                  </m:r>
                  <m:r>
                    <m:rPr>
                      <m:sty m:val="p"/>
                    </m:rPr>
                    <m:t>≥</m:t>
                  </m:r>
                  <m:r>
                    <m:t>120</m:t>
                  </m:r>
                </m:e>
              </m:mr>
              <m:mr>
                <m:e>
                  <m:r>
                    <m:t>0.45</m:t>
                  </m:r>
                </m:e>
                <m:e>
                  <m:r>
                    <m:t>60</m:t>
                  </m:r>
                  <m:r>
                    <m:rPr>
                      <m:sty m:val="p"/>
                    </m:rPr>
                    <m:t>≤</m:t>
                  </m:r>
                  <m:r>
                    <m:t>d</m:t>
                  </m:r>
                  <m:r>
                    <m:rPr>
                      <m:sty m:val="p"/>
                    </m:rPr>
                    <m:t>&lt;</m:t>
                  </m:r>
                  <m:r>
                    <m:t>120</m:t>
                  </m:r>
                </m:e>
              </m:mr>
              <m:mr>
                <m:e>
                  <m:r>
                    <m:t>0.70</m:t>
                  </m:r>
                </m:e>
                <m:e>
                  <m:r>
                    <m:t>30</m:t>
                  </m:r>
                  <m:r>
                    <m:rPr>
                      <m:sty m:val="p"/>
                    </m:rPr>
                    <m:t>≤</m:t>
                  </m:r>
                  <m:r>
                    <m:t>d</m:t>
                  </m:r>
                  <m:r>
                    <m:rPr>
                      <m:sty m:val="p"/>
                    </m:rPr>
                    <m:t>&lt;</m:t>
                  </m:r>
                  <m:r>
                    <m:t>60</m:t>
                  </m:r>
                </m:e>
              </m:mr>
              <m:mr>
                <m:e>
                  <m:r>
                    <m:t>1.00</m:t>
                  </m:r>
                </m:e>
                <m:e>
                  <m:r>
                    <m:t>d</m:t>
                  </m:r>
                  <m:r>
                    <m:rPr>
                      <m:sty m:val="p"/>
                    </m:rPr>
                    <m:t>&lt;</m:t>
                  </m:r>
                  <m:r>
                    <m:t>30</m:t>
                  </m:r>
                </m:e>
              </m:mr>
            </m:m>
          </m:e>
        </m:d>
        <m:r>
          <m:t> </m:t>
        </m:r>
        <m:r>
          <m:rPr>
            <m:nor/>
            <m:sty m:val="p"/>
          </m:rPr>
          <m:t>—— 时间紧迫度</m:t>
        </m:r>
      </m:oMath>
    </w:p>
    <w:p>
      <w:pPr>
        <w:spacing w:before="80" w:after="80"/>
        <w:ind w:firstLine="0"/>
        <w:jc w:val="center"/>
      </w:pPr>
      <m:oMath xmlns:a="http://schemas.openxmlformats.org/drawingml/2006/main" xmlns:pic="http://schemas.openxmlformats.org/drawingml/2006/picture"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σ</m:t>
            </m:r>
          </m:e>
          <m:sub>
            <m:r>
              <m:t>e</m:t>
            </m:r>
          </m:sub>
        </m:sSub>
        <m:r>
          <m:t> </m:t>
        </m:r>
        <m:r>
          <m:rPr>
            <m:nor/>
            <m:sty m:val="p"/>
          </m:rPr>
          <m:t>—— 证据不足度</m:t>
        </m:r>
      </m:oMath>
    </w:p>
    <w:p>
      <w:pPr>
        <w:spacing w:before="80" w:after="80"/>
        <w:ind w:firstLine="0"/>
        <w:jc w:val="center"/>
      </w:pPr>
      <m:oMath xmlns:a="http://schemas.openxmlformats.org/drawingml/2006/main" xmlns:pic="http://schemas.openxmlformats.org/drawingml/2006/picture"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sepChr m:val=""/>
            <m:endChr m:val=")"/>
            <m:grow/>
          </m:dPr>
          <m:e>
            <m:r>
              <m:t>0.50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</m:rPr>
                  <m:t>max</m:t>
                </m:r>
              </m:e>
              <m:sub>
                <m:r>
                  <m:t>k</m:t>
                </m:r>
              </m:sub>
            </m:sSub>
            <m:r>
              <m:t>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e>
        </m:d>
        <m:r>
          <m:t> </m:t>
        </m:r>
        <m:r>
          <m:rPr>
            <m:nor/>
            <m:sty m:val="p"/>
          </m:rPr>
          <m:t>—— 利益相关者价值</m:t>
        </m:r>
      </m:oMath>
    </w:p>
    <w:p>
      <w:pPr>
        <w:spacing w:line="360" w:lineRule="auto"/>
        <w:ind w:firstLine="432"/>
      </w:pPr>
      <w:r>
        <w:rPr>
          <w:rFonts w:ascii="宋体" w:hAnsi="宋体" w:eastAsia="宋体"/>
          <w:b w:val="0"/>
        </w:rPr>
        <w:t>模块关键性函数 κ: C → [0.60, 0.95] 由团队根据 iGEM 评审权重讨论确定（Safety 0.95、Model 0.85、Implementation 0.80、Material 0.75、Environment 0.75、Problem Definition 0.70、Software 0.65、Education 0.60、Social Media 0.60）；角色价值映射 v: 教授 0.85、医生 0.85、负责人 0.80、村民 0.70、公众 0.55 等，外层 max(0.50, ·) 保证任何利益相关者的反馈都具有基础价值。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</w:rPr>
        <w:t>（三）AHP 权重确定</w:t>
      </w:r>
    </w:p>
    <w:p>
      <w:pPr>
        <w:spacing w:line="360" w:lineRule="auto"/>
        <w:ind w:firstLine="432"/>
      </w:pPr>
      <w:r>
        <w:rPr>
          <w:rFonts w:ascii="宋体" w:hAnsi="宋体" w:eastAsia="宋体"/>
          <w:b w:val="0"/>
        </w:rPr>
        <w:t>层次分析法通过两两比较构造判断矩阵，将专家对因素相对重要性的定性判断转化为定量权重，采用方根法求解，并通过一致性检验（CR &lt; 0.10）：</w:t>
      </w:r>
    </w:p>
    <w:p>
      <w:pPr>
        <w:spacing w:before="80" w:after="80"/>
        <w:ind w:firstLine="0"/>
        <w:jc w:val="center"/>
      </w:pPr>
      <m:oMath xmlns:a="http://schemas.openxmlformats.org/drawingml/2006/main" xmlns:pic="http://schemas.openxmlformats.org/drawingml/2006/picture">
        <m:sSub>
          <m:e>
            <m:acc>
              <m:accPr>
                <m:chr m:val="‾"/>
              </m:accPr>
              <m:e>
                <m:r>
                  <m:t>w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nary>
                  <m:naryPr>
                    <m:chr m:val="∏"/>
                    <m:limLoc m:val="undOvr"/>
                    <m:subHide m:val="off"/>
                    <m:supHide m:val="on"/>
                  </m:naryPr>
                  <m:sub>
                    <m:r>
                      <m:t>j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  <m:r>
                          <m:t>j</m:t>
                        </m:r>
                      </m:sub>
                    </m:sSub>
                  </m:e>
                </m:nary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  <m:r>
          <m:rPr>
            <m:sty m:val="p"/>
          </m:rPr>
          <m:t>,</m:t>
        </m:r>
        <m:r>
          <m:t> 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acc>
                  <m:accPr>
                    <m:chr m:val="‾"/>
                  </m:accPr>
                  <m:e>
                    <m:r>
                      <m:t>w</m:t>
                    </m:r>
                  </m:e>
                </m:acc>
              </m:e>
              <m:sub>
                <m:r>
                  <m:t>k</m:t>
                </m:r>
              </m:sub>
            </m:sSub>
          </m:num>
          <m:den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</m:sub>
              <m:sup>
                <m:r>
                  <m:t>​</m:t>
                </m:r>
              </m:sup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w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nary>
          </m:den>
        </m:f>
      </m:oMath>
    </w:p>
    <w:p>
      <w:pPr>
        <w:spacing w:line="360" w:lineRule="auto"/>
        <w:ind w:firstLine="432"/>
      </w:pPr>
      <w:r>
        <w:rPr>
          <w:rFonts w:ascii="宋体" w:hAnsi="宋体" w:eastAsia="宋体"/>
          <w:b w:val="0"/>
        </w:rPr>
        <w:t>判断矩阵由团队成员结合 iGEM HP 评审标准充分讨论后确定。U₁ 内部紧迫性判断矩阵（F₁ 比 F₂ 标度 2、比 F₃ 标度 3，F₂ 与 F₃ 同等重要）：</w:t>
      </w:r>
    </w:p>
    <w:p>
      <w:pPr>
        <w:spacing w:before="80" w:after="80"/>
        <w:ind w:firstLine="0"/>
        <w:jc w:val="center"/>
      </w:pPr>
      <m:oMath xmlns:a="http://schemas.openxmlformats.org/drawingml/2006/main" xmlns:pic="http://schemas.openxmlformats.org/drawingml/2006/picture">
        <m:sSub>
          <m:e>
            <m:r>
              <m:t>J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</w:p>
    <w:p>
      <w:pPr>
        <w:spacing w:before="40" w:after="40"/>
        <w:ind w:firstLine="0"/>
        <w:jc w:val="center"/>
      </w:pPr>
      <w:r>
        <w:rPr>
          <w:rFonts w:ascii="微软雅黑" w:hAnsi="微软雅黑" w:eastAsia="微软雅黑"/>
          <w:color w:val="593A23"/>
          <w:sz w:val="22"/>
        </w:rPr>
        <w:t xml:space="preserve">→ </w:t>
      </w:r>
      <m:oMath xmlns:a="http://schemas.openxmlformats.org/drawingml/2006/main" xmlns:pic="http://schemas.openxmlformats.org/drawingml/2006/picture"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0.540</m:t>
        </m:r>
        <m:r>
          <m:rPr>
            <m:sty m:val="p"/>
          </m:rPr>
          <m:t>,</m:t>
        </m:r>
        <m:r>
          <m:t>0.250</m:t>
        </m:r>
        <m:r>
          <m:rPr>
            <m:sty m:val="p"/>
          </m:rPr>
          <m:t>,</m:t>
        </m:r>
        <m:r>
          <m:t>0.210</m:t>
        </m:r>
        <m:r>
          <m:rPr>
            <m:sty m:val="p"/>
          </m:rPr>
          <m:t>)</m:t>
        </m:r>
      </m:oMath>
      <w:r>
        <w:rPr>
          <w:rFonts w:ascii="微软雅黑" w:hAnsi="微软雅黑" w:eastAsia="微软雅黑"/>
          <w:color w:val="593A23"/>
          <w:sz w:val="22"/>
        </w:rPr>
        <w:t xml:space="preserve"> λ_max = 3.018，CR = 0.016 &lt; 0.10 通过</w:t>
      </w:r>
    </w:p>
    <w:p>
      <w:pPr>
        <w:spacing w:line="360" w:lineRule="auto"/>
        <w:ind w:firstLine="432"/>
      </w:pPr>
      <w:r>
        <w:rPr>
          <w:rFonts w:ascii="宋体" w:hAnsi="宋体" w:eastAsia="宋体"/>
          <w:b w:val="0"/>
        </w:rPr>
        <w:t>U₂ 外部约束判断矩阵（F₄ 比 F₅、F₆ 标度 2，F₅ 与 F₆ 同等重要）：</w:t>
      </w:r>
    </w:p>
    <w:p>
      <w:pPr>
        <w:spacing w:before="80" w:after="80"/>
        <w:ind w:firstLine="0"/>
        <w:jc w:val="center"/>
      </w:pPr>
      <m:oMath xmlns:a="http://schemas.openxmlformats.org/drawingml/2006/main" xmlns:pic="http://schemas.openxmlformats.org/drawingml/2006/picture">
        <m:sSub>
          <m:e>
            <m:r>
              <m:t>J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</w:p>
    <w:p>
      <w:pPr>
        <w:spacing w:before="40" w:after="40"/>
        <w:ind w:firstLine="0"/>
        <w:jc w:val="center"/>
      </w:pPr>
      <w:r>
        <w:rPr>
          <w:rFonts w:ascii="微软雅黑" w:hAnsi="微软雅黑" w:eastAsia="微软雅黑"/>
          <w:color w:val="593A23"/>
          <w:sz w:val="22"/>
        </w:rPr>
        <w:t xml:space="preserve">→ </w:t>
      </w:r>
      <m:oMath xmlns:a="http://schemas.openxmlformats.org/drawingml/2006/main" xmlns:pic="http://schemas.openxmlformats.org/drawingml/2006/picture"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0.493</m:t>
        </m:r>
        <m:r>
          <m:rPr>
            <m:sty m:val="p"/>
          </m:rPr>
          <m:t>,</m:t>
        </m:r>
        <m:r>
          <m:t>0.253</m:t>
        </m:r>
        <m:r>
          <m:rPr>
            <m:sty m:val="p"/>
          </m:rPr>
          <m:t>,</m:t>
        </m:r>
        <m:r>
          <m:t>0.254</m:t>
        </m:r>
        <m:r>
          <m:rPr>
            <m:sty m:val="p"/>
          </m:rPr>
          <m:t>)</m:t>
        </m:r>
      </m:oMath>
      <w:r>
        <w:rPr>
          <w:rFonts w:ascii="微软雅黑" w:hAnsi="微软雅黑" w:eastAsia="微软雅黑"/>
          <w:color w:val="593A23"/>
          <w:sz w:val="22"/>
        </w:rPr>
        <w:t xml:space="preserve"> λ_max = 3.001，CR = 0.001 &lt; 0.10 通过</w:t>
      </w:r>
    </w:p>
    <w:p>
      <w:pPr>
        <w:spacing w:line="360" w:lineRule="auto"/>
        <w:ind w:firstLine="432"/>
      </w:pPr>
      <w:r>
        <w:rPr>
          <w:rFonts w:ascii="宋体" w:hAnsi="宋体" w:eastAsia="宋体"/>
          <w:b w:val="0"/>
        </w:rPr>
        <w:t>二级判断矩阵（内部紧迫性较外部约束标度 2）：</w:t>
      </w:r>
    </w:p>
    <w:p>
      <w:pPr>
        <w:spacing w:before="80" w:after="80"/>
        <w:ind w:firstLine="0"/>
        <w:jc w:val="center"/>
      </w:pPr>
      <m:oMath xmlns:a="http://schemas.openxmlformats.org/drawingml/2006/main" xmlns:pic="http://schemas.openxmlformats.org/drawingml/2006/picture">
        <m: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</w:p>
    <w:p>
      <w:pPr>
        <w:spacing w:before="40" w:after="40"/>
        <w:ind w:firstLine="0"/>
        <w:jc w:val="center"/>
      </w:pPr>
      <w:r>
        <w:rPr>
          <w:rFonts w:ascii="微软雅黑" w:hAnsi="微软雅黑" w:eastAsia="微软雅黑"/>
          <w:color w:val="593A23"/>
          <w:sz w:val="22"/>
        </w:rPr>
        <w:t xml:space="preserve">→ </w:t>
      </w:r>
      <m:oMath xmlns:a="http://schemas.openxmlformats.org/drawingml/2006/main" xmlns:pic="http://schemas.openxmlformats.org/drawingml/2006/picture"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0.667</m:t>
        </m:r>
        <m:r>
          <m:rPr>
            <m:sty m:val="p"/>
          </m:rPr>
          <m:t>,</m:t>
        </m:r>
        <m:r>
          <m:t>0.333</m:t>
        </m:r>
        <m:r>
          <m:rPr>
            <m:sty m:val="p"/>
          </m:rPr>
          <m:t>)</m:t>
        </m:r>
      </m:oMath>
      <w:r>
        <w:rPr>
          <w:rFonts w:ascii="微软雅黑" w:hAnsi="微软雅黑" w:eastAsia="微软雅黑"/>
          <w:color w:val="593A23"/>
          <w:sz w:val="22"/>
        </w:rPr>
        <w:t xml:space="preserve"> CR &lt; 0.10 通过</w:t>
      </w:r>
    </w:p>
    <w:p>
      <w:pPr>
        <w:spacing w:line="360" w:lineRule="auto"/>
        <w:ind w:firstLine="432"/>
      </w:pPr>
      <w:r>
        <w:rPr>
          <w:rFonts w:ascii="宋体" w:hAnsi="宋体" w:eastAsia="宋体"/>
          <w:b w:val="0"/>
        </w:rPr>
        <w:t>熵权法并行诊断：以数据离散程度反映各因子的实际区分度。设 N 条记录在 K 个因子上的取值矩阵：</w:t>
      </w:r>
    </w:p>
    <w:p>
      <w:pPr>
        <w:spacing w:before="80" w:after="80"/>
        <w:ind w:firstLine="0"/>
        <w:jc w:val="center"/>
      </w:pPr>
      <m:oMath xmlns:a="http://schemas.openxmlformats.org/drawingml/2006/main" xmlns:pic="http://schemas.openxmlformats.org/drawingml/2006/picture">
        <m:sSub>
          <m:e>
            <m:r>
              <m:t>p</m:t>
            </m:r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ε</m:t>
            </m:r>
          </m:num>
          <m:den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ε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,</m:t>
        </m:r>
        <m:r>
          <m:t> </m:t>
        </m:r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</w:p>
    <w:p>
      <w:pPr>
        <w:spacing w:before="80" w:after="80"/>
        <w:ind w:firstLine="0"/>
        <w:jc w:val="center"/>
      </w:pPr>
      <m:oMath xmlns:a="http://schemas.openxmlformats.org/drawingml/2006/main" xmlns:pic="http://schemas.openxmlformats.org/drawingml/2006/picture"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ln</m:t>
            </m:r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i</m:t>
            </m:r>
            <m:r>
              <m:t>k</m:t>
            </m:r>
          </m:sub>
        </m:sSub>
      </m:oMath>
    </w:p>
    <w:p>
      <w:pPr>
        <w:spacing w:before="80" w:after="80"/>
        <w:ind w:firstLine="0"/>
        <w:jc w:val="center"/>
      </w:pPr>
      <m:oMath xmlns:a="http://schemas.openxmlformats.org/drawingml/2006/main" xmlns:pic="http://schemas.openxmlformats.org/drawingml/2006/picture">
        <m:sSubSup>
          <m:e>
            <m:r>
              <m:t>w</m:t>
            </m:r>
          </m:e>
          <m:sub>
            <m:r>
              <m:t>k</m:t>
            </m:r>
          </m:sub>
          <m:sup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y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k</m:t>
                </m:r>
              </m:sub>
            </m:sSub>
          </m:num>
          <m:den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den>
        </m:f>
      </m:oMath>
    </w:p>
    <w:p>
      <w:pPr>
        <w:spacing w:line="360" w:lineRule="auto"/>
        <w:ind w:firstLine="432"/>
      </w:pPr>
      <w:r>
        <w:rPr>
          <w:rFonts w:ascii="宋体" w:hAnsi="宋体" w:eastAsia="宋体"/>
          <w:b w:val="0"/>
        </w:rPr>
        <w:t>AHP 回答“什么在理论上重要”，熵权回答“什么在数据中有区分度”，二者互为校验——当某因子熵权与 AHP 权重方向严重背离时，提示检查样本分布或 AHP 判断在新样本中的适用性。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</w:rPr>
        <w:t>（四）隶属函数（模糊综合评价法）</w:t>
      </w:r>
    </w:p>
    <w:p>
      <w:pPr>
        <w:spacing w:line="360" w:lineRule="auto"/>
        <w:ind w:firstLine="432"/>
      </w:pPr>
      <w:r>
        <w:rPr>
          <w:rFonts w:ascii="宋体" w:hAnsi="宋体" w:eastAsia="宋体"/>
          <w:b w:val="0"/>
        </w:rPr>
        <w:t>将因子值 F ∈ [0,1] 映射为对四个评语等级的隶属度 r_ij(F)。隶属函数满足：（1）覆盖性——全区间内各等级隶属度之和恒为一；（2）凸性——每个等级隶属函数为凸函数，隶属度在中心值处最大；（3）平滑过渡——相邻等级在边界处交叉。</w:t>
      </w:r>
    </w:p>
    <w:p>
      <w:pPr>
        <w:spacing w:before="80" w:after="80"/>
        <w:ind w:firstLine="0"/>
        <w:jc w:val="center"/>
      </w:pPr>
      <m:oMath xmlns:a="http://schemas.openxmlformats.org/drawingml/2006/main" xmlns:pic="http://schemas.openxmlformats.org/drawingml/2006/picture">
        <m:sSub>
          <m:e>
            <m:r>
              <m:t>r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F</m:t>
                  </m:r>
                  <m:r>
                    <m:rPr>
                      <m:sty m:val="p"/>
                    </m:rPr>
                    <m:t>≤</m:t>
                  </m:r>
                  <m:r>
                    <m:t>0.25</m:t>
                  </m:r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0.45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</m:num>
                    <m:den>
                      <m:r>
                        <m:t>0.20</m:t>
                      </m:r>
                    </m:den>
                  </m:f>
                </m:e>
                <m:e>
                  <m:r>
                    <m:t>0.25</m:t>
                  </m:r>
                  <m:r>
                    <m:rPr>
                      <m:sty m:val="p"/>
                    </m:rPr>
                    <m:t>&lt;</m:t>
                  </m:r>
                  <m:r>
                    <m:t>F</m:t>
                  </m:r>
                  <m:r>
                    <m:rPr>
                      <m:sty m:val="p"/>
                    </m:rPr>
                    <m:t>&lt;</m:t>
                  </m:r>
                  <m:r>
                    <m:t>0.45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F</m:t>
                  </m:r>
                  <m:r>
                    <m:rPr>
                      <m:sty m:val="p"/>
                    </m:rPr>
                    <m:t>≥</m:t>
                  </m:r>
                  <m:r>
                    <m:t>0.45</m:t>
                  </m:r>
                </m:e>
              </m:mr>
            </m:m>
          </m:e>
        </m:d>
        <m:r>
          <m:t> 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低，降半梯形</m:t>
        </m:r>
        <m:r>
          <m:rPr>
            <m:sty m:val="p"/>
          </m:rPr>
          <m:t>)</m:t>
        </m:r>
      </m:oMath>
    </w:p>
    <w:p>
      <w:pPr>
        <w:spacing w:before="80" w:after="80"/>
        <w:ind w:firstLine="0"/>
        <w:jc w:val="center"/>
      </w:pPr>
      <m:oMath xmlns:a="http://schemas.openxmlformats.org/drawingml/2006/main" xmlns:pic="http://schemas.openxmlformats.org/drawingml/2006/picture">
        <m:sSub>
          <m:e>
            <m:r>
              <m:t>r</m:t>
            </m:r>
          </m:e>
          <m:sub>
            <m:r>
              <m:t>i</m:t>
            </m:r>
            <m:r>
              <m:t>2</m:t>
            </m:r>
          </m:sub>
        </m:sSub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nor/>
            <m:sty m:val="p"/>
          </m:rPr>
          <m:t>三角形，峰值平台 </m:t>
        </m:r>
        <m:r>
          <m:t>0.45</m:t>
        </m:r>
        <m:r>
          <m:rPr>
            <m:nor/>
            <m:sty m:val="p"/>
          </m:rPr>
          <m:t>–</m:t>
        </m:r>
        <m:r>
          <m:t>0.55</m:t>
        </m:r>
        <m:r>
          <m:rPr>
            <m:sty m:val="p"/>
          </m:rPr>
          <m:t>，</m:t>
        </m:r>
        <m:r>
          <m:rPr>
            <m:nor/>
            <m:sty m:val="p"/>
          </m:rPr>
          <m:t>线性上升 </m:t>
        </m:r>
        <m:r>
          <m:t>0.25</m:t>
        </m:r>
        <m:r>
          <m:rPr>
            <m:sty m:val="p"/>
          </m:rPr>
          <m:t>→</m:t>
        </m:r>
        <m:r>
          <m:t>0.45</m:t>
        </m:r>
        <m:r>
          <m:rPr>
            <m:sty m:val="p"/>
          </m:rPr>
          <m:t>，</m:t>
        </m:r>
        <m:r>
          <m:rPr>
            <m:nor/>
            <m:sty m:val="p"/>
          </m:rPr>
          <m:t>线性下降 </m:t>
        </m:r>
        <m:r>
          <m:t>0.55</m:t>
        </m:r>
        <m:r>
          <m:rPr>
            <m:sty m:val="p"/>
          </m:rPr>
          <m:t>→</m:t>
        </m:r>
        <m:r>
          <m:t>0.75</m:t>
        </m:r>
      </m:oMath>
    </w:p>
    <w:p>
      <w:pPr>
        <w:spacing w:before="80" w:after="80"/>
        <w:ind w:firstLine="0"/>
        <w:jc w:val="center"/>
      </w:pPr>
      <m:oMath xmlns:a="http://schemas.openxmlformats.org/drawingml/2006/main" xmlns:pic="http://schemas.openxmlformats.org/drawingml/2006/picture">
        <m:sSub>
          <m:e>
            <m:r>
              <m:t>r</m:t>
            </m:r>
          </m:e>
          <m:sub>
            <m:r>
              <m:t>i</m:t>
            </m:r>
            <m:r>
              <m:t>3</m:t>
            </m:r>
          </m:sub>
        </m:sSub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nor/>
            <m:sty m:val="p"/>
          </m:rPr>
          <m:t>梯形，线性上升 </m:t>
        </m:r>
        <m:r>
          <m:t>0.55</m:t>
        </m:r>
        <m:r>
          <m:rPr>
            <m:sty m:val="p"/>
          </m:rPr>
          <m:t>→</m:t>
        </m:r>
        <m:r>
          <m:t>0.75</m:t>
        </m:r>
        <m:r>
          <m:rPr>
            <m:sty m:val="p"/>
          </m:rPr>
          <m:t>，</m:t>
        </m:r>
        <m:r>
          <m:rPr>
            <m:nor/>
            <m:sty m:val="p"/>
          </m:rPr>
          <m:t>平台 </m:t>
        </m:r>
        <m:r>
          <m:t>0.75</m:t>
        </m:r>
        <m:r>
          <m:rPr>
            <m:nor/>
            <m:sty m:val="p"/>
          </m:rPr>
          <m:t>–</m:t>
        </m:r>
        <m:r>
          <m:t>0.85</m:t>
        </m:r>
        <m:r>
          <m:rPr>
            <m:sty m:val="p"/>
          </m:rPr>
          <m:t>，</m:t>
        </m:r>
        <m:r>
          <m:rPr>
            <m:nor/>
            <m:sty m:val="p"/>
          </m:rPr>
          <m:t>线性下降 </m:t>
        </m:r>
        <m:r>
          <m:t>0.85</m:t>
        </m:r>
        <m:r>
          <m:rPr>
            <m:sty m:val="p"/>
          </m:rPr>
          <m:t>→</m:t>
        </m:r>
        <m:r>
          <m:t>1.0</m:t>
        </m:r>
      </m:oMath>
    </w:p>
    <w:p>
      <w:pPr>
        <w:spacing w:before="80" w:after="80"/>
        <w:ind w:firstLine="0"/>
        <w:jc w:val="center"/>
      </w:pPr>
      <m:oMath xmlns:a="http://schemas.openxmlformats.org/drawingml/2006/main" xmlns:pic="http://schemas.openxmlformats.org/drawingml/2006/picture">
        <m:sSub>
          <m:e>
            <m:r>
              <m:t>r</m:t>
            </m:r>
          </m:e>
          <m:sub>
            <m:r>
              <m:t>i</m:t>
            </m:r>
            <m:r>
              <m:t>4</m:t>
            </m:r>
          </m:sub>
        </m:sSub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F</m:t>
                  </m:r>
                  <m:r>
                    <m:rPr>
                      <m:sty m:val="p"/>
                    </m:rPr>
                    <m:t>≤</m:t>
                  </m:r>
                  <m:r>
                    <m:t>0.75</m:t>
                  </m:r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0.75</m:t>
                      </m:r>
                    </m:num>
                    <m:den>
                      <m:r>
                        <m:t>0.15</m:t>
                      </m:r>
                    </m:den>
                  </m:f>
                </m:e>
                <m:e>
                  <m:r>
                    <m:t>0.75</m:t>
                  </m:r>
                  <m:r>
                    <m:rPr>
                      <m:sty m:val="p"/>
                    </m:rPr>
                    <m:t>&lt;</m:t>
                  </m:r>
                  <m:r>
                    <m:t>F</m:t>
                  </m:r>
                  <m:r>
                    <m:rPr>
                      <m:sty m:val="p"/>
                    </m:rPr>
                    <m:t>&lt;</m:t>
                  </m:r>
                  <m:r>
                    <m:t>0.90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F</m:t>
                  </m:r>
                  <m:r>
                    <m:rPr>
                      <m:sty m:val="p"/>
                    </m:rPr>
                    <m:t>≥</m:t>
                  </m:r>
                  <m:r>
                    <m:t>0.90</m:t>
                  </m:r>
                </m:e>
              </m:mr>
            </m:m>
          </m:e>
        </m:d>
        <m:r>
          <m:t> 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4</m:t>
            </m:r>
          </m:sub>
        </m:sSub>
        <m:r>
          <m:rPr>
            <m:nor/>
            <m:sty m:val="p"/>
          </m:rPr>
          <m:t> 紧急，升半梯形</m:t>
        </m:r>
        <m:r>
          <m:rPr>
            <m:sty m:val="p"/>
          </m:rPr>
          <m:t>)</m:t>
        </m:r>
      </m:oMath>
    </w:p>
    <w:p>
      <w:pPr>
        <w:spacing w:line="360" w:lineRule="auto"/>
        <w:ind w:firstLine="432"/>
      </w:pPr>
      <w:r>
        <w:rPr>
          <w:rFonts w:ascii="宋体" w:hAnsi="宋体" w:eastAsia="宋体"/>
          <w:b/>
        </w:rPr>
        <w:t>（五）模糊合成算子选择</w:t>
      </w:r>
    </w:p>
    <w:tbl>
      <w:tblPr>
        <w:tblStyle w:val="af4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592"/>
        <w:gridCol w:w="2448"/>
        <w:gridCol w:w="2880"/>
      </w:tblGrid>
      <w:tr>
        <w:tc>
          <w:tcPr>
            <w:tcW w:type="dxa" w:w="2520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算子</w:t>
            </w:r>
          </w:p>
        </w:tc>
        <w:tc>
          <w:tcPr>
            <w:tcW w:type="dxa" w:w="2520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定义</w:t>
            </w:r>
          </w:p>
        </w:tc>
        <w:tc>
          <w:tcPr>
            <w:tcW w:type="dxa" w:w="2520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适用场景</w:t>
            </w:r>
          </w:p>
        </w:tc>
        <w:tc>
          <w:tcPr>
            <w:tcW w:type="dxa" w:w="2520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HP 适用性</w:t>
            </w:r>
          </w:p>
        </w:tc>
      </w:tr>
      <w:tr>
        <w:tc>
          <w:tcPr>
            <w:tcW w:type="dxa" w:w="2520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M(∧,∨)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b_j = ⋁ᵢ (aᵢ ∧ r_ij)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单因素决定性评价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✗ 丢失大量信息</w:t>
            </w:r>
          </w:p>
        </w:tc>
      </w:tr>
      <w:tr>
        <w:tc>
          <w:tcPr>
            <w:tcW w:type="dxa" w:w="2520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M(·,∨)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b_j = ⋁ᵢ (aᵢ · r_ij)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突出主要因素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✗ 无法反映次要因素贡献</w:t>
            </w:r>
          </w:p>
        </w:tc>
      </w:tr>
      <w:tr>
        <w:tc>
          <w:tcPr>
            <w:tcW w:type="dxa" w:w="2520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M(·,+)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b_j = Σᵢ aᵢ · r_ij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多因素综合权衡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✓ 信息保留最完整</w:t>
            </w:r>
          </w:p>
        </w:tc>
      </w:tr>
      <w:tr>
        <w:tc>
          <w:tcPr>
            <w:tcW w:type="dxa" w:w="2520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M(∧,⊕)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b_j = min(1, Σᵢ aᵢ ∧ r_ij)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权重大且因素少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✗ 上界截断丢失区分度</w:t>
            </w:r>
          </w:p>
        </w:tc>
      </w:tr>
    </w:tbl>
    <w:p>
      <w:pPr>
        <w:spacing w:line="360" w:lineRule="auto"/>
        <w:ind w:firstLine="432"/>
      </w:pPr>
      <w:r>
        <w:rPr>
          <w:rFonts w:ascii="宋体" w:hAnsi="宋体" w:eastAsia="宋体"/>
          <w:b w:val="0"/>
        </w:rPr>
        <w:t>M(·,+) 算子被选中的核心理由：（1）信息保留——所有权重和隶属度均参与合成，无信息截断；（2）可加分解性——每个 b_j 可分解为各因子的独立贡献，支持完全可审计；（3）线性性——权重和隶属度各自独立贡献，无交互项。代价是假设因子间无交互效应。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</w:rPr>
        <w:t>（六）二级 FCE 与去模糊化</w:t>
      </w:r>
    </w:p>
    <w:p>
      <w:pPr>
        <w:spacing w:line="360" w:lineRule="auto"/>
        <w:ind w:firstLine="432"/>
      </w:pPr>
      <w:r>
        <w:rPr>
          <w:rFonts w:ascii="宋体" w:hAnsi="宋体" w:eastAsia="宋体"/>
          <w:b w:val="0"/>
        </w:rPr>
        <w:t>第一级：由因子值构造模糊评价矩阵 R₁（3×4）、R₂（3×4），采用 M(·,+) 算子合成：</w:t>
      </w:r>
    </w:p>
    <w:p>
      <w:pPr>
        <w:spacing w:before="80" w:after="80"/>
        <w:ind w:firstLine="0"/>
        <w:jc w:val="center"/>
      </w:pPr>
      <m:oMath xmlns:a="http://schemas.openxmlformats.org/drawingml/2006/main" xmlns:pic="http://schemas.openxmlformats.org/drawingml/2006/picture"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∘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 </m:t>
        </m:r>
        <m:sSub>
          <m:e>
            <m:r>
              <m:t>b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1</m:t>
                </m:r>
                <m:r>
                  <m:t>i</m:t>
                </m:r>
              </m:sub>
            </m:sSub>
          </m:e>
        </m:nary>
        <m:r>
          <m:rPr>
            <m:sty m:val="p"/>
          </m:rPr>
          <m:t>⋅</m:t>
        </m:r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</w:p>
    <w:p>
      <w:pPr>
        <w:spacing w:before="80" w:after="80"/>
        <w:ind w:firstLine="0"/>
        <w:jc w:val="center"/>
      </w:pPr>
      <m:oMath xmlns:a="http://schemas.openxmlformats.org/drawingml/2006/main" xmlns:pic="http://schemas.openxmlformats.org/drawingml/2006/picture"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∘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 </m:t>
        </m:r>
        <m:sSub>
          <m:e>
            <m:r>
              <m:t>b</m:t>
            </m:r>
          </m:e>
          <m:sub>
            <m:r>
              <m:t>2</m:t>
            </m:r>
            <m:r>
              <m:t>j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2</m:t>
                </m:r>
                <m:r>
                  <m:t>i</m:t>
                </m:r>
              </m:sub>
            </m:sSub>
          </m:e>
        </m:nary>
        <m:r>
          <m:rPr>
            <m:sty m:val="p"/>
          </m:rPr>
          <m:t>⋅</m:t>
        </m:r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</w:p>
    <w:p>
      <w:pPr>
        <w:spacing w:line="360" w:lineRule="auto"/>
        <w:ind w:firstLine="432"/>
      </w:pPr>
      <w:r>
        <w:rPr>
          <w:rFonts w:ascii="宋体" w:hAnsi="宋体" w:eastAsia="宋体"/>
          <w:b w:val="0"/>
        </w:rPr>
        <w:t>第二级：取 R = [B₁; B₂] 为 2×4 总评价矩阵，综合：</w:t>
      </w:r>
    </w:p>
    <w:p>
      <w:pPr>
        <w:spacing w:before="80" w:after="80"/>
        <w:ind w:firstLine="0"/>
        <w:jc w:val="center"/>
      </w:pPr>
      <m:oMath xmlns:a="http://schemas.openxmlformats.org/drawingml/2006/main" xmlns:pic="http://schemas.openxmlformats.org/drawingml/2006/picture"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∘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 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0.667</m:t>
        </m:r>
        <m:r>
          <m:rPr>
            <m:sty m:val="p"/>
          </m:rPr>
          <m:t>⋅</m:t>
        </m:r>
        <m:sSub>
          <m:e>
            <m:r>
              <m:t>b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+</m:t>
        </m:r>
        <m:r>
          <m:t>0.333</m:t>
        </m:r>
        <m:r>
          <m:rPr>
            <m:sty m:val="p"/>
          </m:rPr>
          <m:t>⋅</m:t>
        </m:r>
        <m:sSub>
          <m:e>
            <m:r>
              <m:t>b</m:t>
            </m:r>
          </m:e>
          <m:sub>
            <m:r>
              <m:t>2</m:t>
            </m:r>
            <m:r>
              <m:t>j</m:t>
            </m:r>
          </m:sub>
        </m:sSub>
      </m:oMath>
    </w:p>
    <w:p>
      <w:pPr>
        <w:spacing w:line="360" w:lineRule="auto"/>
        <w:ind w:firstLine="432"/>
      </w:pPr>
      <w:r>
        <w:rPr>
          <w:rFonts w:ascii="宋体" w:hAnsi="宋体" w:eastAsia="宋体"/>
          <w:b w:val="0"/>
        </w:rPr>
        <w:t>重心法（加权平均）去模糊化：</w:t>
      </w:r>
    </w:p>
    <w:p>
      <w:pPr>
        <w:spacing w:before="80" w:after="80"/>
        <w:ind w:firstLine="0"/>
        <w:jc w:val="center"/>
      </w:pPr>
      <m:oMath xmlns:a="http://schemas.openxmlformats.org/drawingml/2006/main" xmlns:pic="http://schemas.openxmlformats.org/drawingml/2006/picture"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b</m:t>
                    </m:r>
                  </m:e>
                  <m:sub>
                    <m:r>
                      <m:t>j</m:t>
                    </m:r>
                  </m:sub>
                </m:sSub>
              </m:e>
            </m:nary>
            <m:r>
              <m:rPr>
                <m:sty m:val="p"/>
              </m:rPr>
              <m:t>⋅</m:t>
            </m:r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num>
          <m:den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b</m:t>
                    </m:r>
                  </m:e>
                  <m:sub>
                    <m:r>
                      <m:t>j</m:t>
                    </m:r>
                  </m:sub>
                </m:sSub>
              </m:e>
            </m:nary>
          </m:den>
        </m:f>
        <m:r>
          <m:rPr>
            <m:sty m:val="p"/>
          </m:rPr>
          <m:t>=</m:t>
        </m:r>
        <m:r>
          <m:t>0.20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0.45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0.72</m:t>
        </m:r>
        <m:sSub>
          <m:e>
            <m: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0.95</m:t>
        </m:r>
        <m:sSub>
          <m:e>
            <m:r>
              <m:t>b</m:t>
            </m:r>
          </m:e>
          <m:sub>
            <m:r>
              <m:t>4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0.20</m:t>
        </m:r>
        <m:r>
          <m:rPr>
            <m:sty m:val="p"/>
          </m:rPr>
          <m:t>,</m:t>
        </m:r>
        <m:r>
          <m:t>0.95</m:t>
        </m:r>
        <m:r>
          <m:rPr>
            <m:sty m:val="p"/>
          </m:rPr>
          <m:t>]</m:t>
        </m:r>
      </m:oMath>
    </w:p>
    <w:p>
      <w:pPr>
        <w:spacing w:line="360" w:lineRule="auto"/>
        <w:ind w:firstLine="432"/>
      </w:pPr>
      <w:r>
        <w:rPr>
          <w:rFonts w:ascii="宋体" w:hAnsi="宋体" w:eastAsia="宋体"/>
          <w:b w:val="0"/>
        </w:rPr>
        <w:t>优先级得分 P 与模糊向量 B 双输出：B 揭示反馈在各优先级等级上的隶属度分布——两个 P 值接近的卡片可能在 B 的结构上完全不同（一个内部紧迫性驱动，一个外部约束驱动），为团队讨论提供“我们的反馈在多大程度上属于紧急”的判断起点。</w:t>
      </w:r>
    </w:p>
    <w:p>
      <w:pPr>
        <w:pStyle w:val="1"/>
        <w:jc w:val="left"/>
      </w:pPr>
      <w:r>
        <w:rPr>
          <w:rFonts w:ascii="微软雅黑" w:hAnsi="微软雅黑" w:eastAsia="微软雅黑"/>
        </w:rPr>
        <w:t>五、模糊隶属度成熟度评估</w:t>
      </w:r>
    </w:p>
    <w:p>
      <w:pPr>
        <w:spacing w:line="360" w:lineRule="auto"/>
        <w:ind w:firstLine="432"/>
      </w:pPr>
      <w:r>
        <w:rPr>
          <w:rFonts w:ascii="宋体" w:hAnsi="宋体" w:eastAsia="宋体"/>
          <w:b w:val="0"/>
        </w:rPr>
        <w:t>从六个维度评估每条反馈的成熟度，对每个维度 i 设置评语集 Vᵢ = {0,1,2,3,4,5}：</w:t>
      </w:r>
    </w:p>
    <w:tbl>
      <w:tblPr>
        <w:tblStyle w:val="af4"/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4896"/>
        <w:gridCol w:w="2880"/>
      </w:tblGrid>
      <w:tr>
        <w:tc>
          <w:tcPr>
            <w:tcW w:type="dxa" w:w="3360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360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信号构成</w:t>
            </w:r>
          </w:p>
        </w:tc>
        <w:tc>
          <w:tcPr>
            <w:tcW w:type="dxa" w:w="3360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核心逻辑</w:t>
            </w:r>
          </w:p>
        </w:tc>
      </w:tr>
      <w:tr>
        <w:tc>
          <w:tcPr>
            <w:tcW w:type="dxa" w:w="3360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1. 设计反思迭代深度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闭环层级 × 设计模块覆盖 × 证据强度 × 反思信号（LLM）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是否重新审视设计并迭代</w:t>
            </w:r>
          </w:p>
        </w:tc>
      </w:tr>
      <w:tr>
        <w:tc>
          <w:tcPr>
            <w:tcW w:type="dxa" w:w="3360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2. 真实场景探索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场景类型 × 实施/环境模块覆盖 × 场景信号（LLM） × 证据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是否深入真实应用场景</w:t>
            </w:r>
          </w:p>
        </w:tc>
      </w:tr>
      <w:tr>
        <w:tc>
          <w:tcPr>
            <w:tcW w:type="dxa" w:w="3360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3. 多元视角广度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加权模块数 × 关键类型 × 跨模块影响 F₂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模块覆盖与视角多样性</w:t>
            </w:r>
          </w:p>
        </w:tc>
      </w:tr>
      <w:tr>
        <w:tc>
          <w:tcPr>
            <w:tcW w:type="dxa" w:w="3360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4. 正负影响预判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μ_Safety × μ_Environment × 风险信号（LLM） × 缓解信号（LLM） × 边界产物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风险识别与缓解措施</w:t>
            </w:r>
          </w:p>
        </w:tc>
      </w:tr>
      <w:tr>
        <w:tc>
          <w:tcPr>
            <w:tcW w:type="dxa" w:w="3360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5. 反馈落地响应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闭环层级 × 证据强度 × 修改文本丰富度 × 回访标记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反馈是否转化为行动与证据</w:t>
            </w:r>
          </w:p>
        </w:tc>
      </w:tr>
      <w:tr>
        <w:tc>
          <w:tcPr>
            <w:tcW w:type="dxa" w:w="3360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6. 局限性坦诚认知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局限信号（LLM） × μ_Safety × 边界信号（LLM） × 边界产物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是否坦诚承认方法边界</w:t>
            </w:r>
          </w:p>
        </w:tc>
      </w:tr>
    </w:tbl>
    <w:p>
      <w:pPr>
        <w:spacing w:line="360" w:lineRule="auto"/>
        <w:ind w:firstLine="432"/>
      </w:pPr>
      <w:r>
        <w:rPr>
          <w:rFonts w:ascii="宋体" w:hAnsi="宋体" w:eastAsia="宋体"/>
          <w:b w:val="0"/>
        </w:rPr>
        <w:t>文本信号（反思、场景、风险、缓解、局限、边界）由大模型四梯度判断后映射为数值，结构化信号（闭环层级、模块覆盖率、证据强度、回访标记）由数学直接计算。各信号变量经升半梯形/三角形/降半梯形隶属函数映射到各等级，综合隶属度为信号隶属度的加权和：</w:t>
      </w:r>
    </w:p>
    <w:p>
      <w:pPr>
        <w:spacing w:before="80" w:after="80"/>
        <w:ind w:firstLine="0"/>
        <w:jc w:val="center"/>
      </w:pPr>
      <m:oMath xmlns:a="http://schemas.openxmlformats.org/drawingml/2006/main" xmlns:pic="http://schemas.openxmlformats.org/drawingml/2006/picture">
        <m:sSub>
          <m:e>
            <m:r>
              <m:t>μ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</m:e>
        </m:nary>
        <m:r>
          <m:rPr>
            <m:sty m:val="p"/>
          </m:rPr>
          <m:t>⋅</m:t>
        </m:r>
        <m:sSubSup>
          <m:e>
            <m:r>
              <m:t>μ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 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</w:p>
    <w:p>
      <w:pPr>
        <w:spacing w:line="360" w:lineRule="auto"/>
        <w:ind w:firstLine="432"/>
      </w:pPr>
      <w:r>
        <w:rPr>
          <w:rFonts w:ascii="宋体" w:hAnsi="宋体" w:eastAsia="宋体"/>
          <w:b/>
        </w:rPr>
        <w:t>最终等级由两级判定规则确定：</w:t>
      </w:r>
    </w:p>
    <w:p>
      <w:pPr>
        <w:spacing w:line="360" w:lineRule="auto"/>
        <w:ind w:firstLine="432"/>
      </w:pPr>
      <w:r>
        <w:rPr>
          <w:rFonts w:ascii="宋体" w:hAnsi="宋体" w:eastAsia="宋体"/>
          <w:b w:val="0"/>
        </w:rPr>
        <w:t>规则 1（最大隶属度原则）。若存在 k 使 μ_{i,k} &gt; 0.5，则 mᵢ = argmax_k μ_{i,k}。占优情形下该判定唯一：若 μ_k &gt; 0.5，则其余等级隶属度之和小于 0.5，不存在其他等级超过 μ_k（否则二者之和大于 1，矛盾）。</w:t>
      </w:r>
    </w:p>
    <w:p>
      <w:pPr>
        <w:spacing w:line="360" w:lineRule="auto"/>
        <w:ind w:firstLine="432"/>
      </w:pPr>
      <w:r>
        <w:rPr>
          <w:rFonts w:ascii="宋体" w:hAnsi="宋体" w:eastAsia="宋体"/>
          <w:b w:val="0"/>
        </w:rPr>
        <w:t>规则 2（级别特征值法）。若所有 μ_{i,k} ≤ 0.5，为避免丢失梯度信息，引入级别特征值（加权平均成熟度得分）作为主要输出：</w:t>
      </w:r>
    </w:p>
    <w:p>
      <w:pPr>
        <w:spacing w:before="80" w:after="80"/>
        <w:ind w:firstLine="0"/>
        <w:jc w:val="center"/>
      </w:pPr>
      <m:oMath xmlns:a="http://schemas.openxmlformats.org/drawingml/2006/main" xmlns:pic="http://schemas.openxmlformats.org/drawingml/2006/picture">
        <m:sSubSup>
          <m:e>
            <m:r>
              <m:t>m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t>5</m:t>
                </m:r>
              </m:sup>
              <m:e>
                <m:r>
                  <m:t>k</m:t>
                </m:r>
              </m:e>
            </m:nary>
            <m:r>
              <m:rPr>
                <m:sty m:val="p"/>
              </m:rPr>
              <m:t>⋅</m:t>
            </m:r>
            <m:sSubSup>
              <m:e>
                <m:r>
                  <m:t>μ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</m:sub>
              <m:sup>
                <m:r>
                  <m:t>γ</m:t>
                </m:r>
              </m:sup>
            </m:sSubSup>
          </m:num>
          <m:den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t>5</m:t>
                </m:r>
              </m:sup>
              <m:e>
                <m:sSubSup>
                  <m:e>
                    <m:r>
                      <m:t>μ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  <m:sup>
                    <m:r>
                      <m:t>γ</m:t>
                    </m:r>
                  </m:sup>
                </m:sSubSup>
              </m:e>
            </m:nary>
          </m:den>
        </m:f>
        <m:r>
          <m:rPr>
            <m:sty m:val="p"/>
          </m:rPr>
          <m:t>,</m:t>
        </m:r>
        <m:r>
          <m:t> </m:t>
        </m:r>
        <m:r>
          <m:t>γ</m:t>
        </m:r>
        <m:r>
          <m:rPr>
            <m:sty m:val="p"/>
          </m:rPr>
          <m:t>=</m:t>
        </m:r>
        <m:r>
          <m:t>2</m:t>
        </m:r>
      </m:oMath>
    </w:p>
    <w:p>
      <w:pPr>
        <w:spacing w:line="360" w:lineRule="auto"/>
        <w:ind w:firstLine="432"/>
      </w:pPr>
      <w:r>
        <w:rPr>
          <w:rFonts w:ascii="宋体" w:hAnsi="宋体" w:eastAsia="宋体"/>
          <w:b w:val="0"/>
        </w:rPr>
        <w:t>γ = 2 的幂加权放大了高隶属度等级的贡献，抑制低隶属度噪声；γ = 1 退化为普通加权平均（对噪声敏感），γ → ∞ 退化为最大隶属度原则。mᵢ* ∈ [0,5] 为连续成熟度得分——mᵢ* = 2.7 表示“已稳固达到 L2，正接近 L3”；mᵢ* = 2.1 表示“刚刚达到 L2”。同时保留最大隶属度等级 mᵢ 作为参考等级。</w:t>
      </w:r>
    </w:p>
    <w:p>
      <w:pPr>
        <w:pStyle w:val="1"/>
        <w:jc w:val="left"/>
      </w:pPr>
      <w:r>
        <w:rPr>
          <w:rFonts w:ascii="微软雅黑" w:hAnsi="微软雅黑" w:eastAsia="微软雅黑"/>
        </w:rPr>
        <w:t>六、行动推荐与知识图谱</w:t>
      </w:r>
    </w:p>
    <w:p>
      <w:pPr>
        <w:spacing w:line="360" w:lineRule="auto"/>
        <w:ind w:firstLine="432"/>
      </w:pPr>
      <w:r>
        <w:rPr>
          <w:rFonts w:ascii="宋体" w:hAnsi="宋体" w:eastAsia="宋体"/>
          <w:b w:val="0"/>
        </w:rPr>
        <w:t>（一）行动推荐（LLM）。由大模型结合反馈实际内容生成下一步建议（中/英）、建议材料与回访问题，并依据闭环层级给出推荐动作：L0–L1 将反馈转化为具体项目修改；L2 补充可展示证据；L3 未回访时返回修改后材料完成二轮反馈；已回访则整理为闭环案例归档。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</w:rPr>
        <w:t>（二）知识图谱与图分析。构建 Stakeholder → Feedback → Action → Evidence 有向知识图谱，节点文本由大模型精炼摘要。核心图度量：</w:t>
      </w:r>
    </w:p>
    <w:p>
      <w:pPr>
        <w:spacing w:before="80" w:after="80"/>
        <w:ind w:firstLine="0"/>
        <w:jc w:val="center"/>
      </w:pPr>
      <m:oMath xmlns:a="http://schemas.openxmlformats.org/drawingml/2006/main" xmlns:pic="http://schemas.openxmlformats.org/drawingml/2006/picture">
        <m:sSub>
          <m:e>
            <m: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deg</m:t>
            </m:r>
            <m:r>
              <m:rPr>
                <m:sty m:val="p"/>
              </m:rPr>
              <m:t>(</m:t>
            </m:r>
            <m:r>
              <m:t>v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|</m:t>
            </m:r>
            <m:r>
              <m:t>V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t> </m:t>
        </m:r>
        <m:r>
          <m:rPr>
            <m:nor/>
            <m:sty m:val="p"/>
          </m:rPr>
          <m:t>—— 度中心性</m:t>
        </m:r>
      </m:oMath>
    </w:p>
    <w:p>
      <w:pPr>
        <w:spacing w:before="80" w:after="80"/>
        <w:ind w:firstLine="0"/>
        <w:jc w:val="center"/>
      </w:pPr>
      <m:oMath xmlns:a="http://schemas.openxmlformats.org/drawingml/2006/main" xmlns:pic="http://schemas.openxmlformats.org/drawingml/2006/picture">
        <m:sSub>
          <m:e>
            <m: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s</m:t>
            </m:r>
            <m:r>
              <m:rPr>
                <m:sty m:val="p"/>
              </m:rPr>
              <m:t>≠</m:t>
            </m:r>
            <m:r>
              <m:t>v</m:t>
            </m:r>
            <m:r>
              <m:rPr>
                <m:sty m:val="p"/>
              </m:rPr>
              <m:t>≠</m:t>
            </m:r>
            <m:r>
              <m:t>t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s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s</m:t>
                    </m:r>
                    <m:r>
                      <m:t>t</m:t>
                    </m:r>
                  </m:sub>
                </m:sSub>
              </m:den>
            </m:f>
          </m:e>
        </m:nary>
        <m:r>
          <m:t> </m:t>
        </m:r>
        <m:r>
          <m:rPr>
            <m:nor/>
            <m:sty m:val="p"/>
          </m:rPr>
          <m:t>—— 中介中心性（信息枢纽）</m:t>
        </m:r>
      </m:oMath>
    </w:p>
    <w:p>
      <w:pPr>
        <w:spacing w:before="80" w:after="80"/>
        <w:ind w:firstLine="0"/>
        <w:jc w:val="center"/>
      </w:pPr>
      <m:oMath xmlns:a="http://schemas.openxmlformats.org/drawingml/2006/main" xmlns:pic="http://schemas.openxmlformats.org/drawingml/2006/picture">
        <m:r>
          <m:rPr>
            <m:sty m:val="bi"/>
          </m:rPr>
          <m:t>p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t>α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p</m:t>
        </m:r>
        <m:r>
          <m:rPr>
            <m:sty m:val="bi"/>
          </m:rPr>
          <m:t>r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rPr>
                <m:sty m:val="b"/>
              </m:rPr>
              <m:t>1</m:t>
            </m:r>
          </m:num>
          <m:den>
            <m:r>
              <m:rPr>
                <m:sty m:val="p"/>
              </m:rPr>
              <m:t>|</m:t>
            </m:r>
            <m:r>
              <m:t>V</m:t>
            </m:r>
            <m:r>
              <m:rPr>
                <m:sty m:val="p"/>
              </m:rPr>
              <m:t>|</m:t>
            </m:r>
          </m:den>
        </m:f>
        <m:r>
          <m:rPr>
            <m:sty m:val="p"/>
          </m:rPr>
          <m:t>,</m:t>
        </m:r>
        <m:r>
          <m:t> </m:t>
        </m:r>
        <m:r>
          <m:t>α</m:t>
        </m:r>
        <m:r>
          <m:rPr>
            <m:sty m:val="p"/>
          </m:rPr>
          <m:t>=</m:t>
        </m:r>
        <m:r>
          <m:t>0.85</m:t>
        </m:r>
        <m:r>
          <m:t> </m:t>
        </m:r>
        <m:r>
          <m:rPr>
            <m:nor/>
            <m:sty m:val="p"/>
          </m:rPr>
          <m:t>—— PageRank，幂迭代至 </m:t>
        </m:r>
        <m:r>
          <m:rPr>
            <m:sty m:val="p"/>
          </m:rPr>
          <m:t>∥</m:t>
        </m:r>
        <m:r>
          <m:rPr>
            <m:sty m:val="p"/>
          </m:rPr>
          <m:t>Δ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</w:p>
    <w:p>
      <w:pPr>
        <w:spacing w:line="360" w:lineRule="auto"/>
        <w:ind w:firstLine="432"/>
      </w:pPr>
      <w:r>
        <w:rPr>
          <w:rFonts w:ascii="宋体" w:hAnsi="宋体" w:eastAsia="宋体"/>
          <w:b/>
        </w:rPr>
        <w:t>混合利益相关者排名融合图拓扑得分与 FCE 导出的 HP 语义得分（权重经 AHP 标定）：</w:t>
      </w:r>
    </w:p>
    <w:p>
      <w:pPr>
        <w:spacing w:before="80" w:after="80"/>
        <w:ind w:firstLine="0"/>
        <w:jc w:val="center"/>
      </w:pPr>
      <m:oMath xmlns:a="http://schemas.openxmlformats.org/drawingml/2006/main" xmlns:pic="http://schemas.openxmlformats.org/drawingml/2006/picture"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  <m:acc>
          <m:accPr>
            <m:chr m:val="̃"/>
          </m:accPr>
          <m:e>
            <m:r>
              <m:t>P</m:t>
            </m:r>
            <m:r>
              <m:t>R</m:t>
            </m:r>
          </m:e>
        </m:acc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0.35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0.25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t> </m:t>
        </m:r>
        <m:r>
          <m:rPr>
            <m:nor/>
            <m:sty m:val="p"/>
          </m:rPr>
          <m:t>—— 拓扑得分（最大归一化）</m:t>
        </m:r>
      </m:oMath>
    </w:p>
    <w:p>
      <w:pPr>
        <w:spacing w:before="80" w:after="80"/>
        <w:ind w:firstLine="0"/>
        <w:jc w:val="center"/>
      </w:pPr>
      <m:oMath xmlns:a="http://schemas.openxmlformats.org/drawingml/2006/main" xmlns:pic="http://schemas.openxmlformats.org/drawingml/2006/picture">
        <m:sSub>
          <m:e>
            <m:r>
              <m:t>S</m:t>
            </m:r>
          </m:e>
          <m:sub>
            <m:r>
              <m:t>h</m:t>
            </m:r>
          </m:sub>
        </m:sSub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0.35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0.25</m:t>
        </m:r>
        <m:acc>
          <m:accPr>
            <m:chr m:val="‾"/>
          </m:accPr>
          <m:e>
            <m:r>
              <m:t>m</m:t>
            </m:r>
          </m:e>
        </m:acc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0.10</m:t>
        </m:r>
        <m:sSub>
          <m:e>
            <m:acc>
              <m:accPr>
                <m:chr m:val="‾"/>
              </m:accPr>
              <m:e>
                <m:r>
                  <m:t>σ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t> </m:t>
        </m:r>
        <m:r>
          <m:rPr>
            <m:nor/>
            <m:sty m:val="p"/>
          </m:rPr>
          <m:t>—— 混合综合得分</m:t>
        </m:r>
      </m:oMath>
    </w:p>
    <w:p>
      <w:pPr>
        <w:spacing w:line="360" w:lineRule="auto"/>
        <w:ind w:firstLine="432"/>
      </w:pPr>
      <w:r>
        <w:rPr>
          <w:rFonts w:ascii="宋体" w:hAnsi="宋体" w:eastAsia="宋体"/>
          <w:b w:val="0"/>
        </w:rPr>
        <w:t>其中 P̄ 为该利益相关者关联 HP 卡片的平均 FCE 优先级得分，m̄ 为平均加权模块覆盖率，σ̄_e 为平均证据强度。HP 语义分量权重合计 0.70，体现“图结构重要，但反馈的内容质量更重要”的设计原则。</w:t>
      </w:r>
    </w:p>
    <w:p>
      <w:pPr>
        <w:pStyle w:val="1"/>
        <w:jc w:val="left"/>
      </w:pPr>
      <w:r>
        <w:rPr>
          <w:rFonts w:ascii="微软雅黑" w:hAnsi="微软雅黑" w:eastAsia="微软雅黑"/>
        </w:rPr>
        <w:t>七、回访延伸识别与合并</w:t>
      </w:r>
    </w:p>
    <w:p>
      <w:pPr>
        <w:spacing w:line="360" w:lineRule="auto"/>
        <w:ind w:firstLine="432"/>
      </w:pPr>
      <w:r>
        <w:rPr>
          <w:rFonts w:ascii="宋体" w:hAnsi="宋体" w:eastAsia="宋体"/>
          <w:b w:val="0"/>
        </w:rPr>
        <w:t>新上传记录由大模型按标题与内容判断是否为某条已有记录的回访（is_extension_of），并以受访对象一致性校验（相同、互为包含或字符重合率 ≥ 0.6）。判定为回访时合并进原始记录：文本内容两轮分节保存，证据取并集，returned 置真（闭环升级为 L4）；LLM 模块隶属度与成熟度信号取两轮并集的最大值，不被回访覆盖；下一步建议合并去重；闭环状态、优先级、六维成熟度整合后重新计算；时间线与 Wiki 文案按两次访问分开展示，知识图谱保持一个循环一个节点。</w:t>
      </w:r>
    </w:p>
    <w:p>
      <w:pPr>
        <w:pStyle w:val="1"/>
        <w:jc w:val="left"/>
      </w:pPr>
      <w:r>
        <w:rPr>
          <w:rFonts w:ascii="微软雅黑" w:hAnsi="微软雅黑" w:eastAsia="微软雅黑"/>
        </w:rPr>
        <w:t>八、不确定性与敏感性分析</w:t>
      </w:r>
    </w:p>
    <w:p>
      <w:pPr>
        <w:spacing w:line="360" w:lineRule="auto"/>
        <w:ind w:firstLine="432"/>
      </w:pPr>
      <w:r>
        <w:rPr>
          <w:rFonts w:ascii="宋体" w:hAnsi="宋体" w:eastAsia="宋体"/>
          <w:b w:val="0"/>
        </w:rPr>
        <w:t>敏感性分析检验模型核心输出对参数变化的响应程度，覆盖三类参数，扰动范围 ±20%，指标包括 Spearman 秩相关系数、得分最大绝对偏差与成熟度等级跳变率。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</w:rPr>
        <w:t>（一）AHP 权重扰动</w:t>
      </w:r>
    </w:p>
    <w:tbl>
      <w:tblPr>
        <w:tblStyle w:val="af4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1440"/>
        <w:gridCol w:w="1440"/>
        <w:gridCol w:w="1728"/>
        <w:gridCol w:w="1440"/>
        <w:gridCol w:w="1440"/>
      </w:tblGrid>
      <w:tr>
        <w:tc>
          <w:tcPr>
            <w:tcW w:type="dxa" w:w="1680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扰动场景</w:t>
            </w:r>
          </w:p>
        </w:tc>
        <w:tc>
          <w:tcPr>
            <w:tcW w:type="dxa" w:w="1680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原始权重</w:t>
            </w:r>
          </w:p>
        </w:tc>
        <w:tc>
          <w:tcPr>
            <w:tcW w:type="dxa" w:w="1680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扰动后</w:t>
            </w:r>
          </w:p>
        </w:tc>
        <w:tc>
          <w:tcPr>
            <w:tcW w:type="dxa" w:w="1680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Spearman ρ</w:t>
            </w:r>
          </w:p>
        </w:tc>
        <w:tc>
          <w:tcPr>
            <w:tcW w:type="dxa" w:w="1680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ΔP_max</w:t>
            </w:r>
          </w:p>
        </w:tc>
        <w:tc>
          <w:tcPr>
            <w:tcW w:type="dxa" w:w="1680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跳变率</w:t>
            </w:r>
          </w:p>
        </w:tc>
      </w:tr>
      <w:tr>
        <w:tc>
          <w:tcPr>
            <w:tcW w:type="dxa" w:w="1680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U₁ 中 F₁ 权重 +20%</w:t>
            </w:r>
          </w:p>
        </w:tc>
        <w:tc>
          <w:tcPr>
            <w:tcW w:type="dxa" w:w="168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0.540</w:t>
            </w:r>
          </w:p>
        </w:tc>
        <w:tc>
          <w:tcPr>
            <w:tcW w:type="dxa" w:w="168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0.648</w:t>
            </w:r>
          </w:p>
        </w:tc>
        <w:tc>
          <w:tcPr>
            <w:tcW w:type="dxa" w:w="168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1.0000</w:t>
            </w:r>
          </w:p>
        </w:tc>
        <w:tc>
          <w:tcPr>
            <w:tcW w:type="dxa" w:w="168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0.008</w:t>
            </w:r>
          </w:p>
        </w:tc>
        <w:tc>
          <w:tcPr>
            <w:tcW w:type="dxa" w:w="168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0%</w:t>
            </w:r>
          </w:p>
        </w:tc>
      </w:tr>
      <w:tr>
        <w:tc>
          <w:tcPr>
            <w:tcW w:type="dxa" w:w="1680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U₁ 中 F₁ 权重 −20%</w:t>
            </w:r>
          </w:p>
        </w:tc>
        <w:tc>
          <w:tcPr>
            <w:tcW w:type="dxa" w:w="168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0.540</w:t>
            </w:r>
          </w:p>
        </w:tc>
        <w:tc>
          <w:tcPr>
            <w:tcW w:type="dxa" w:w="168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0.432</w:t>
            </w:r>
          </w:p>
        </w:tc>
        <w:tc>
          <w:tcPr>
            <w:tcW w:type="dxa" w:w="168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1.0000</w:t>
            </w:r>
          </w:p>
        </w:tc>
        <w:tc>
          <w:tcPr>
            <w:tcW w:type="dxa" w:w="168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0.006</w:t>
            </w:r>
          </w:p>
        </w:tc>
        <w:tc>
          <w:tcPr>
            <w:tcW w:type="dxa" w:w="168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0%</w:t>
            </w:r>
          </w:p>
        </w:tc>
      </w:tr>
      <w:tr>
        <w:tc>
          <w:tcPr>
            <w:tcW w:type="dxa" w:w="1680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二级 U₁ 权重 +20%</w:t>
            </w:r>
          </w:p>
        </w:tc>
        <w:tc>
          <w:tcPr>
            <w:tcW w:type="dxa" w:w="168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0.667</w:t>
            </w:r>
          </w:p>
        </w:tc>
        <w:tc>
          <w:tcPr>
            <w:tcW w:type="dxa" w:w="168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0.800</w:t>
            </w:r>
          </w:p>
        </w:tc>
        <w:tc>
          <w:tcPr>
            <w:tcW w:type="dxa" w:w="168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0.9998</w:t>
            </w:r>
          </w:p>
        </w:tc>
        <w:tc>
          <w:tcPr>
            <w:tcW w:type="dxa" w:w="168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0.015</w:t>
            </w:r>
          </w:p>
        </w:tc>
        <w:tc>
          <w:tcPr>
            <w:tcW w:type="dxa" w:w="168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0%</w:t>
            </w:r>
          </w:p>
        </w:tc>
      </w:tr>
      <w:tr>
        <w:tc>
          <w:tcPr>
            <w:tcW w:type="dxa" w:w="1680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二级 U₁ 权重 −20%</w:t>
            </w:r>
          </w:p>
        </w:tc>
        <w:tc>
          <w:tcPr>
            <w:tcW w:type="dxa" w:w="168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0.667</w:t>
            </w:r>
          </w:p>
        </w:tc>
        <w:tc>
          <w:tcPr>
            <w:tcW w:type="dxa" w:w="168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0.534</w:t>
            </w:r>
          </w:p>
        </w:tc>
        <w:tc>
          <w:tcPr>
            <w:tcW w:type="dxa" w:w="168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0.9998</w:t>
            </w:r>
          </w:p>
        </w:tc>
        <w:tc>
          <w:tcPr>
            <w:tcW w:type="dxa" w:w="168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0.013</w:t>
            </w:r>
          </w:p>
        </w:tc>
        <w:tc>
          <w:tcPr>
            <w:tcW w:type="dxa" w:w="168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0%</w:t>
            </w:r>
          </w:p>
        </w:tc>
      </w:tr>
      <w:tr>
        <w:tc>
          <w:tcPr>
            <w:tcW w:type="dxa" w:w="1680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U₂ 中 F₄ 权重 +20%</w:t>
            </w:r>
          </w:p>
        </w:tc>
        <w:tc>
          <w:tcPr>
            <w:tcW w:type="dxa" w:w="168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0.493</w:t>
            </w:r>
          </w:p>
        </w:tc>
        <w:tc>
          <w:tcPr>
            <w:tcW w:type="dxa" w:w="168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0.592</w:t>
            </w:r>
          </w:p>
        </w:tc>
        <w:tc>
          <w:tcPr>
            <w:tcW w:type="dxa" w:w="168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1.0000</w:t>
            </w:r>
          </w:p>
        </w:tc>
        <w:tc>
          <w:tcPr>
            <w:tcW w:type="dxa" w:w="168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0.010</w:t>
            </w:r>
          </w:p>
        </w:tc>
        <w:tc>
          <w:tcPr>
            <w:tcW w:type="dxa" w:w="168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0%</w:t>
            </w:r>
          </w:p>
        </w:tc>
      </w:tr>
    </w:tbl>
    <w:p>
      <w:pPr>
        <w:spacing w:line="360" w:lineRule="auto"/>
        <w:ind w:firstLine="432"/>
      </w:pPr>
      <w:r>
        <w:rPr>
          <w:rFonts w:ascii="宋体" w:hAnsi="宋体" w:eastAsia="宋体"/>
          <w:b w:val="0"/>
        </w:rPr>
        <w:t>ΔP_max ≤ 0.015 表明 ±20% 的 AHP 权重扰动引起的得分变化在决策上可忽略。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</w:rPr>
        <w:t>（二）隶属函数参数扰动</w:t>
      </w:r>
    </w:p>
    <w:tbl>
      <w:tblPr>
        <w:tblStyle w:val="af4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1872"/>
        <w:gridCol w:w="2880"/>
        <w:gridCol w:w="1728"/>
        <w:gridCol w:w="1440"/>
      </w:tblGrid>
      <w:tr>
        <w:tc>
          <w:tcPr>
            <w:tcW w:type="dxa" w:w="2016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扰动场景</w:t>
            </w:r>
          </w:p>
        </w:tc>
        <w:tc>
          <w:tcPr>
            <w:tcW w:type="dxa" w:w="2016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016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扰动后区间</w:t>
            </w:r>
          </w:p>
        </w:tc>
        <w:tc>
          <w:tcPr>
            <w:tcW w:type="dxa" w:w="2016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Spearman ρ</w:t>
            </w:r>
          </w:p>
        </w:tc>
        <w:tc>
          <w:tcPr>
            <w:tcW w:type="dxa" w:w="2016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ΔP_max</w:t>
            </w:r>
          </w:p>
        </w:tc>
      </w:tr>
      <w:tr>
        <w:tc>
          <w:tcPr>
            <w:tcW w:type="dxa" w:w="2016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v₁ 右边界 ±20%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0.45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0.36 / 0.54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1.0000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0.005</w:t>
            </w:r>
          </w:p>
        </w:tc>
      </w:tr>
      <w:tr>
        <w:tc>
          <w:tcPr>
            <w:tcW w:type="dxa" w:w="2016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v₄ 左边界 ±20%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0.75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0.60 / 0.90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0.9996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0.031</w:t>
            </w:r>
          </w:p>
        </w:tc>
      </w:tr>
      <w:tr>
        <w:tc>
          <w:tcPr>
            <w:tcW w:type="dxa" w:w="2016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v₃ 平台宽度 ±20%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[0.75, 0.85]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[0.60, 0.68] / [0.90, 1.0]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0.9992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0.042</w:t>
            </w:r>
          </w:p>
        </w:tc>
      </w:tr>
    </w:tbl>
    <w:p>
      <w:pPr>
        <w:spacing w:line="360" w:lineRule="auto"/>
        <w:ind w:firstLine="432"/>
      </w:pPr>
      <w:r>
        <w:rPr>
          <w:rFonts w:ascii="宋体" w:hAnsi="宋体" w:eastAsia="宋体"/>
          <w:b w:val="0"/>
        </w:rPr>
        <w:t>隶属函数平台区参数扰动引起的 ΔP_max = 0.042 显著高于权重扰动——平台宽度直接影响多少因子值被“完全确认”为高优先级，这是需要最谨慎对待的调参项。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</w:rPr>
        <w:t>（三）领域映射参数扰动</w:t>
      </w:r>
    </w:p>
    <w:tbl>
      <w:tblPr>
        <w:tblStyle w:val="af4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1872"/>
        <w:gridCol w:w="2880"/>
        <w:gridCol w:w="1728"/>
        <w:gridCol w:w="1440"/>
      </w:tblGrid>
      <w:tr>
        <w:tc>
          <w:tcPr>
            <w:tcW w:type="dxa" w:w="2016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扰动场景</w:t>
            </w:r>
          </w:p>
        </w:tc>
        <w:tc>
          <w:tcPr>
            <w:tcW w:type="dxa" w:w="2016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016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扰动后</w:t>
            </w:r>
          </w:p>
        </w:tc>
        <w:tc>
          <w:tcPr>
            <w:tcW w:type="dxa" w:w="2016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Spearman ρ</w:t>
            </w:r>
          </w:p>
        </w:tc>
        <w:tc>
          <w:tcPr>
            <w:tcW w:type="dxa" w:w="2016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ΔP_max</w:t>
            </w:r>
          </w:p>
        </w:tc>
      </w:tr>
      <w:tr>
        <w:tc>
          <w:tcPr>
            <w:tcW w:type="dxa" w:w="2016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κ(Safety) ±20%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0.95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1.14→1.0 / 0.76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0.9990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0.038</w:t>
            </w:r>
          </w:p>
        </w:tc>
      </w:tr>
      <w:tr>
        <w:tc>
          <w:tcPr>
            <w:tcW w:type="dxa" w:w="2016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κ(Education) ±20%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0.60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0.72 / 0.48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0.9998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0.012</w:t>
            </w:r>
          </w:p>
        </w:tc>
      </w:tr>
      <w:tr>
        <w:tc>
          <w:tcPr>
            <w:tcW w:type="dxa" w:w="2016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v(医生) ±20%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0.95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1.14→1.0 / 0.76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0.9995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0.025</w:t>
            </w:r>
          </w:p>
        </w:tc>
      </w:tr>
      <w:tr>
        <w:tc>
          <w:tcPr>
            <w:tcW w:type="dxa" w:w="2016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v(学生) ±20%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0.55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0.66 / 0.44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1.0000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0.008</w:t>
            </w:r>
          </w:p>
        </w:tc>
      </w:tr>
    </w:tbl>
    <w:p>
      <w:pPr>
        <w:spacing w:line="360" w:lineRule="auto"/>
        <w:ind w:firstLine="432"/>
      </w:pPr>
      <w:r>
        <w:rPr>
          <w:rFonts w:ascii="宋体" w:hAnsi="宋体" w:eastAsia="宋体"/>
          <w:b w:val="0"/>
        </w:rPr>
        <w:t>关键性参数 κ(Safety) 的扰动影响最大（ΔP_max = 0.038），因为 Safety 模块在多数 HP 记录中均有高隶属度；高价值利益相关者的 v(k) 扰动影响次之。这两类参数主观性最强，参数更新时应优先通过专家讨论达成共识。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</w:rPr>
        <w:t>（四）熵权辅助分析</w:t>
      </w:r>
    </w:p>
    <w:tbl>
      <w:tblPr>
        <w:tblStyle w:val="af4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440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因子</w:t>
            </w:r>
          </w:p>
        </w:tc>
        <w:tc>
          <w:tcPr>
            <w:tcW w:type="dxa" w:w="1440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F₁</w:t>
            </w:r>
          </w:p>
        </w:tc>
        <w:tc>
          <w:tcPr>
            <w:tcW w:type="dxa" w:w="1440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F₂</w:t>
            </w:r>
          </w:p>
        </w:tc>
        <w:tc>
          <w:tcPr>
            <w:tcW w:type="dxa" w:w="1440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F₃</w:t>
            </w:r>
          </w:p>
        </w:tc>
        <w:tc>
          <w:tcPr>
            <w:tcW w:type="dxa" w:w="1440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F₄</w:t>
            </w:r>
          </w:p>
        </w:tc>
        <w:tc>
          <w:tcPr>
            <w:tcW w:type="dxa" w:w="1440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F₅</w:t>
            </w:r>
          </w:p>
        </w:tc>
        <w:tc>
          <w:tcPr>
            <w:tcW w:type="dxa" w:w="1440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F₆</w:t>
            </w:r>
          </w:p>
        </w:tc>
      </w:tr>
      <w:tr>
        <w:tc>
          <w:tcPr>
            <w:tcW w:type="dxa" w:w="1440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信息熵 E_k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0.892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0.814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0.923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0.947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0.871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0.906</w:t>
            </w:r>
          </w:p>
        </w:tc>
      </w:tr>
      <w:tr>
        <w:tc>
          <w:tcPr>
            <w:tcW w:type="dxa" w:w="1440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熵权 w_k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0.167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0.287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0.119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0.082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0.199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0.146</w:t>
            </w:r>
          </w:p>
        </w:tc>
      </w:tr>
      <w:tr>
        <w:tc>
          <w:tcPr>
            <w:tcW w:type="dxa" w:w="1440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AHP 权重（子系统内/全局）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0.540/0.360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0.250/0.167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0.210/0.140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0.493/0.164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0.253/0.084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0.254/0.085</w:t>
            </w:r>
          </w:p>
        </w:tc>
      </w:tr>
    </w:tbl>
    <w:p>
      <w:pPr>
        <w:spacing w:line="360" w:lineRule="auto"/>
        <w:ind w:firstLine="432"/>
      </w:pPr>
      <w:r>
        <w:rPr>
          <w:rFonts w:ascii="宋体" w:hAnsi="宋体" w:eastAsia="宋体"/>
          <w:b w:val="0"/>
        </w:rPr>
        <w:t>熵权显示 F₂（跨模块影响广度）在当前数据中区分度最高（w = 0.287），而 AHP 中权重最高的 F₁（闭环缺口）熵权仅为 0.167——当前样本的闭环层级分布相对集中；F₄（时间紧迫度）熵权极低（0.082），反映多数记录访谈日期相近。AHP 与熵权的差异反映“理论重要性”与“数据区分度”之间的天然张力。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</w:rPr>
        <w:t>（五）LLM 层稳定性（实测数据）</w:t>
      </w:r>
    </w:p>
    <w:p>
      <w:pPr>
        <w:spacing w:line="360" w:lineRule="auto"/>
        <w:ind w:firstLine="432"/>
      </w:pPr>
      <w:r>
        <w:rPr>
          <w:rFonts w:ascii="宋体" w:hAnsi="宋体" w:eastAsia="宋体"/>
          <w:b w:val="0"/>
        </w:rPr>
        <w:t>大模型层调用 1/2 各运行两次，比较 15 个四梯度字段（9 模块 + 6 成熟度信号）的一致率，采用第一次运行结果，两次原始 JSON 全部存档。11 条记录的实测一致率：</w:t>
      </w:r>
    </w:p>
    <w:tbl>
      <w:tblPr>
        <w:tblStyle w:val="af4"/>
        <w:tblW w:type="auto" w:w="0"/>
        <w:tblLayout w:type="fixed"/>
        <w:tblLook w:firstColumn="1" w:firstRow="1" w:lastColumn="0" w:lastRow="0" w:noHBand="0" w:noVBand="1" w:val="04A0"/>
      </w:tblPr>
      <w:tblGrid>
        <w:gridCol w:w="4176"/>
        <w:gridCol w:w="1728"/>
        <w:gridCol w:w="4176"/>
        <w:gridCol w:w="1728"/>
      </w:tblGrid>
      <w:tr>
        <w:tc>
          <w:tcPr>
            <w:tcW w:type="dxa" w:w="2520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访谈记录</w:t>
            </w:r>
          </w:p>
        </w:tc>
        <w:tc>
          <w:tcPr>
            <w:tcW w:type="dxa" w:w="2520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四梯度一致率</w:t>
            </w:r>
          </w:p>
        </w:tc>
        <w:tc>
          <w:tcPr>
            <w:tcW w:type="dxa" w:w="2520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访谈记录</w:t>
            </w:r>
          </w:p>
        </w:tc>
        <w:tc>
          <w:tcPr>
            <w:tcW w:type="dxa" w:w="2520"/>
            <w:shd w:fill="593A2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四梯度一致率</w:t>
            </w:r>
          </w:p>
        </w:tc>
      </w:tr>
      <w:tr>
        <w:tc>
          <w:tcPr>
            <w:tcW w:type="dxa" w:w="2520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西安动物医院（2026-01-24）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0.933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家畜实验室刘军教授（2026-03-09）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1.000</w:t>
            </w:r>
          </w:p>
        </w:tc>
      </w:tr>
      <w:tr>
        <w:tc>
          <w:tcPr>
            <w:tcW w:type="dxa" w:w="2520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赵天意老师（2026-03-15）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1.000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罗自卫老师（2026-03-20）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1.000</w:t>
            </w:r>
          </w:p>
        </w:tc>
      </w:tr>
      <w:tr>
        <w:tc>
          <w:tcPr>
            <w:tcW w:type="dxa" w:w="2520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哈工大聂桓老师（2026-04-18）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0.933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猫咪驿站（2026-04-19）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0.933</w:t>
            </w:r>
          </w:p>
        </w:tc>
      </w:tr>
      <w:tr>
        <w:tc>
          <w:tcPr>
            <w:tcW w:type="dxa" w:w="2520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羊场张伟（2026-04-20）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1.000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奶山羊场杜欣愿（2026-04-22）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0.800</w:t>
            </w:r>
          </w:p>
        </w:tc>
      </w:tr>
      <w:tr>
        <w:tc>
          <w:tcPr>
            <w:tcW w:type="dxa" w:w="2520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散养羊村民（2026-05-01）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0.867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iGEM 东北交流会（2026-05-02）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1.000</w:t>
            </w:r>
          </w:p>
        </w:tc>
      </w:tr>
      <w:tr>
        <w:tc>
          <w:tcPr>
            <w:tcW w:type="dxa" w:w="2520"/>
            <w:shd w:fill="FFF2CC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钱勋教授（2026-05-27）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  <w:t>1.000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宋体" w:hAnsi="宋体" w:eastAsia="宋体"/>
                <w:color w:val="3D2B1F"/>
                <w:sz w:val="20"/>
              </w:rPr>
            </w:r>
          </w:p>
        </w:tc>
      </w:tr>
    </w:tbl>
    <w:p>
      <w:pPr>
        <w:spacing w:line="360" w:lineRule="auto"/>
        <w:ind w:firstLine="432"/>
      </w:pPr>
      <w:r>
        <w:rPr>
          <w:rFonts w:ascii="宋体" w:hAnsi="宋体" w:eastAsia="宋体"/>
          <w:b w:val="0"/>
        </w:rPr>
        <w:t>11 条记录平均一致率 0.952，最低 0.800（奶山羊场杜欣愿——养殖端记录含大量口语化表述，四梯度判断偶有分歧），最高 1.000（7 条）。一致率数据用于评估 LLM 语义判断的稳定性，不一致的记录取第一次运行结果并保留两次原始 JSON 供人工核查。</w:t>
      </w:r>
    </w:p>
    <w:p>
      <w:pPr>
        <w:pStyle w:val="1"/>
        <w:jc w:val="left"/>
      </w:pPr>
      <w:r>
        <w:rPr>
          <w:rFonts w:ascii="微软雅黑" w:hAnsi="微软雅黑" w:eastAsia="微软雅黑"/>
        </w:rPr>
        <w:t>九、结果解释与模型边界</w:t>
      </w:r>
    </w:p>
    <w:p>
      <w:pPr>
        <w:spacing w:line="360" w:lineRule="auto"/>
        <w:ind w:firstLine="432"/>
      </w:pPr>
      <w:r>
        <w:rPr>
          <w:rFonts w:ascii="宋体" w:hAnsi="宋体" w:eastAsia="宋体"/>
          <w:b w:val="0"/>
        </w:rPr>
        <w:t>模型结果表明，HP 反馈的优先级是内部紧迫性与外部约束共同作用的结果：闭环缺口（权重 0.540）和跨模块影响广度（权重 0.250）是驱动优先级的主要内部因子，时间紧迫度（权重 0.493）在外部约束中起主导作用。与核心模块（Safety、Model）深度关联、证据链完整的反馈获得更高的优先级排序，团队应将有限回访资源优先投向高优先级利益相关者。六维成熟度评估揭示了团队 HP 实践的差异化表现：多元视角广度与影响预判得分较高，局限性坦诚认知与场景探索仍有提升空间。</w:t>
      </w:r>
    </w:p>
    <w:p>
      <w:pPr>
        <w:spacing w:line="360" w:lineRule="auto"/>
        <w:ind w:firstLine="432"/>
      </w:pPr>
      <w:r>
        <w:rPr>
          <w:rFonts w:ascii="宋体" w:hAnsi="宋体" w:eastAsia="宋体"/>
          <w:b/>
        </w:rPr>
        <w:t>模型边界：</w:t>
      </w:r>
    </w:p>
    <w:p>
      <w:pPr>
        <w:pStyle w:val="a0"/>
        <w:ind w:left="360" w:hanging="360"/>
      </w:pPr>
      <w:r>
        <w:rPr>
          <w:rFonts w:ascii="宋体" w:hAnsi="宋体" w:eastAsia="宋体"/>
        </w:rPr>
        <w:t>模型输出用于比较不同反馈之间的相对优先级与成熟度差异，辅助团队制定结构化回访计划，而非替代团队对反馈内容的独立判断；</w:t>
      </w:r>
    </w:p>
    <w:p>
      <w:pPr>
        <w:pStyle w:val="a0"/>
        <w:ind w:left="360" w:hanging="360"/>
      </w:pPr>
      <w:r>
        <w:rPr>
          <w:rFonts w:ascii="宋体" w:hAnsi="宋体" w:eastAsia="宋体"/>
        </w:rPr>
        <w:t>隶属函数采用分段线性近似，真实评价中等级间的过渡未必线性，可尝试更平滑的隶属函数形态；</w:t>
      </w:r>
    </w:p>
    <w:p>
      <w:pPr>
        <w:pStyle w:val="a0"/>
        <w:ind w:left="360" w:hanging="360"/>
      </w:pPr>
      <w:r>
        <w:rPr>
          <w:rFonts w:ascii="宋体" w:hAnsi="宋体" w:eastAsia="宋体"/>
        </w:rPr>
        <w:t>M(·,+) 算子假设六因子独立可加，闭环缺口与模块关键性等因素间可能存在协同效应，后续可引入非可加合成方法刻画条件依赖；</w:t>
      </w:r>
    </w:p>
    <w:p>
      <w:pPr>
        <w:pStyle w:val="a0"/>
        <w:ind w:left="360" w:hanging="360"/>
      </w:pPr>
      <w:r>
        <w:rPr>
          <w:rFonts w:ascii="宋体" w:hAnsi="宋体" w:eastAsia="宋体"/>
        </w:rPr>
        <w:t>闭环状态机为单向链式（L0→L4），回访触发新修改的逆向迭代（L4→L2）由回访延伸合并机制部分覆盖；</w:t>
      </w:r>
    </w:p>
    <w:p>
      <w:pPr>
        <w:pStyle w:val="a0"/>
        <w:ind w:left="360" w:hanging="360"/>
      </w:pPr>
      <w:r>
        <w:rPr>
          <w:rFonts w:ascii="宋体" w:hAnsi="宋体" w:eastAsia="宋体"/>
        </w:rPr>
        <w:t>模型基于小样本语料标定参数，随语料增长应重新校验；LLM 层的语义判断具有概率性，通过温度 0 与稳定性双运行控制不确定性。</w:t>
      </w:r>
    </w:p>
    <w:p>
      <w:pPr>
        <w:pStyle w:val="1"/>
        <w:jc w:val="left"/>
      </w:pPr>
      <w:r>
        <w:rPr>
          <w:rFonts w:ascii="微软雅黑" w:hAnsi="微软雅黑" w:eastAsia="微软雅黑"/>
        </w:rPr>
        <w:t>参考文献</w:t>
      </w:r>
    </w:p>
    <w:p>
      <w:pPr>
        <w:ind w:firstLine="0"/>
      </w:pPr>
      <w:r>
        <w:rPr>
          <w:rFonts w:ascii="宋体" w:hAnsi="宋体" w:eastAsia="宋体"/>
          <w:color w:val="3D2B1F"/>
          <w:sz w:val="20"/>
        </w:rPr>
        <w:t>[1] Brin, S., &amp; Page, L. 1998. The anatomy of a large-scale hypertextual Web search engine. Computer Networks and ISDN Systems, 30, 107–117.</w:t>
      </w:r>
    </w:p>
    <w:p>
      <w:pPr>
        <w:ind w:firstLine="0"/>
      </w:pPr>
      <w:r>
        <w:rPr>
          <w:rFonts w:ascii="宋体" w:hAnsi="宋体" w:eastAsia="宋体"/>
          <w:color w:val="3D2B1F"/>
          <w:sz w:val="20"/>
        </w:rPr>
        <w:t>[2] Freeman, L. C. 1977. A set of measures of centrality based on betweenness. Sociometry, 40, 35–41.</w:t>
      </w:r>
    </w:p>
    <w:p>
      <w:pPr>
        <w:ind w:firstLine="0"/>
      </w:pPr>
      <w:r>
        <w:rPr>
          <w:rFonts w:ascii="宋体" w:hAnsi="宋体" w:eastAsia="宋体"/>
          <w:color w:val="3D2B1F"/>
          <w:sz w:val="20"/>
        </w:rPr>
        <w:t>[3] Newman, M. E. J., &amp; Girvan, M. 2004. Finding and evaluating community structure in networks. Physical Review E, 69, 026113.</w:t>
      </w:r>
    </w:p>
    <w:p>
      <w:pPr>
        <w:ind w:firstLine="0"/>
      </w:pPr>
      <w:r>
        <w:rPr>
          <w:rFonts w:ascii="宋体" w:hAnsi="宋体" w:eastAsia="宋体"/>
          <w:color w:val="3D2B1F"/>
          <w:sz w:val="20"/>
        </w:rPr>
        <w:t>[4] Saaty, T. L. 1980. The Analytic Hierarchy Process. McGraw-Hill.</w:t>
      </w:r>
    </w:p>
    <w:p>
      <w:pPr>
        <w:ind w:firstLine="0"/>
      </w:pPr>
      <w:r>
        <w:rPr>
          <w:rFonts w:ascii="宋体" w:hAnsi="宋体" w:eastAsia="宋体"/>
          <w:color w:val="3D2B1F"/>
          <w:sz w:val="20"/>
        </w:rPr>
        <w:t>[5] Shannon, C. E. 1948. A mathematical theory of communication. Bell System Technical Journal, 27, 379–423.</w:t>
      </w:r>
    </w:p>
    <w:p>
      <w:pPr>
        <w:ind w:firstLine="0"/>
      </w:pPr>
      <w:r>
        <w:rPr>
          <w:rFonts w:ascii="宋体" w:hAnsi="宋体" w:eastAsia="宋体"/>
          <w:color w:val="3D2B1F"/>
          <w:sz w:val="20"/>
        </w:rPr>
        <w:t>[6] Zadeh, L. A. 1965. Fuzzy sets. Information and Control, 8(3), 338–353.</w:t>
      </w:r>
    </w:p>
    <w:p>
      <w:pPr>
        <w:ind w:firstLine="0"/>
      </w:pPr>
      <w:r>
        <w:rPr>
          <w:rFonts w:ascii="宋体" w:hAnsi="宋体" w:eastAsia="宋体"/>
          <w:color w:val="3D2B1F"/>
          <w:sz w:val="20"/>
        </w:rPr>
        <w:t>[7] 汪培庄. 1983. 模糊集合论及其应用. 上海科学技术出版社.</w:t>
      </w:r>
    </w:p>
    <w:p>
      <w:pPr>
        <w:ind w:firstLine="0"/>
      </w:pPr>
      <w:r>
        <w:rPr>
          <w:rFonts w:ascii="宋体" w:hAnsi="宋体" w:eastAsia="宋体"/>
          <w:color w:val="3D2B1F"/>
          <w:sz w:val="20"/>
        </w:rPr>
        <w:t>[8] 陈水利, 李敬功, 王向公. 2005. 模糊集理论及其应用. 科学出版社.</w:t>
      </w:r>
    </w:p>
    <w:sectPr w:rsidR="0047278C">
      <w:headerReference w:type="default" r:id="rId8"/>
      <w:footerReference w:type="default" r:id="rId9"/>
      <w:pgSz w:w="12240" w:h="15840"/>
      <w:pgMar w:top="1181" w:right="1080" w:bottom="1181" w:left="1080" w:header="173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5A1E1" w14:textId="77777777" w:rsidR="007F6D19" w:rsidRDefault="007F6D19">
      <w:pPr>
        <w:spacing w:line="240" w:lineRule="auto"/>
      </w:pPr>
      <w:r>
        <w:separator/>
      </w:r>
    </w:p>
  </w:endnote>
  <w:endnote w:type="continuationSeparator" w:id="0">
    <w:p w14:paraId="075B8882" w14:textId="77777777" w:rsidR="007F6D19" w:rsidRDefault="007F6D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default"/>
    <w:sig w:usb0="00000000" w:usb1="00000000" w:usb2="00000009" w:usb3="00000000" w:csb0="000001FF" w:csb1="00000000"/>
  </w:font>
  <w:font w:name="Arial Italic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Bold Italic">
    <w:panose1 w:val="020B07040202020902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E2543" w14:textId="77777777" w:rsidR="0047278C" w:rsidRDefault="00000000">
    <w:pPr>
      <w:spacing w:after="0"/>
      <w:jc w:val="center"/>
    </w:pPr>
    <w:r>
      <w:rPr>
        <w:noProof/>
      </w:rPr>
      <w:drawing>
        <wp:inline distT="0" distB="0" distL="114300" distR="114300" wp14:anchorId="37725F10" wp14:editId="39B5CB88">
          <wp:extent cx="1115060" cy="4381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5568" cy="4384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CD280" w14:textId="77777777" w:rsidR="007F6D19" w:rsidRDefault="007F6D19">
      <w:pPr>
        <w:spacing w:after="0"/>
      </w:pPr>
      <w:r>
        <w:separator/>
      </w:r>
    </w:p>
  </w:footnote>
  <w:footnote w:type="continuationSeparator" w:id="0">
    <w:p w14:paraId="4D33C23F" w14:textId="77777777" w:rsidR="007F6D19" w:rsidRDefault="007F6D1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838F5" w14:textId="12CD45F5" w:rsidR="0047278C" w:rsidRDefault="006147DC">
    <w:r>
      <w:rPr>
        <w:noProof/>
      </w:rPr>
      <w:drawing>
        <wp:anchor distT="0" distB="0" distL="114300" distR="114300" simplePos="0" relativeHeight="251657728" behindDoc="1" locked="0" layoutInCell="1" allowOverlap="1" wp14:anchorId="2F8FECE3" wp14:editId="38AE53B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502081988" name="mic_bg_protocol_body_b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ic_bg_protocol_body_b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597637386">
    <w:abstractNumId w:val="1"/>
  </w:num>
  <w:num w:numId="2" w16cid:durableId="936906577">
    <w:abstractNumId w:val="4"/>
  </w:num>
  <w:num w:numId="3" w16cid:durableId="153955764">
    <w:abstractNumId w:val="5"/>
  </w:num>
  <w:num w:numId="4" w16cid:durableId="1235356928">
    <w:abstractNumId w:val="2"/>
  </w:num>
  <w:num w:numId="5" w16cid:durableId="846141123">
    <w:abstractNumId w:val="0"/>
  </w:num>
  <w:num w:numId="6" w16cid:durableId="7256425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2A44"/>
    <w:rsid w:val="002827FA"/>
    <w:rsid w:val="0029639D"/>
    <w:rsid w:val="002F0666"/>
    <w:rsid w:val="00326F90"/>
    <w:rsid w:val="0047278C"/>
    <w:rsid w:val="006147DC"/>
    <w:rsid w:val="007F6D19"/>
    <w:rsid w:val="00AA1D8D"/>
    <w:rsid w:val="00B47730"/>
    <w:rsid w:val="00BF6AE5"/>
    <w:rsid w:val="00CB0664"/>
    <w:rsid w:val="00F522F0"/>
    <w:rsid w:val="00FC693F"/>
    <w:rsid w:val="9DD91385"/>
    <w:rsid w:val="DFFEA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7F36F329"/>
  <w14:defaultImageDpi w14:val="300"/>
  <w15:docId w15:val="{8C59C8B0-95A4-4E88-BAB6-881BCE37B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90" w:line="274" w:lineRule="auto"/>
    </w:pPr>
    <w:rPr>
      <w:rFonts w:ascii="Arial" w:eastAsia="微软雅黑" w:hAnsi="Arial"/>
      <w:color w:val="1B1B1B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220" w:after="100" w:line="259" w:lineRule="auto"/>
      <w:outlineLvl w:val="0"/>
    </w:pPr>
    <w:rPr>
      <w:rFonts w:asciiTheme="majorHAnsi" w:eastAsiaTheme="majorEastAsia" w:hAnsiTheme="majorHAnsi" w:cstheme="majorBidi"/>
      <w:b/>
      <w:bCs/>
      <w:color w:val="593A23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b/>
      <w:bCs/>
      <w:color w:val="5B9BD5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2998</Words>
  <Characters>18983</Characters>
  <Application>Microsoft Office Word</Application>
  <DocSecurity>0</DocSecurity>
  <Lines>486</Lines>
  <Paragraphs>348</Paragraphs>
  <ScaleCrop>false</ScaleCrop>
  <Company/>
  <LinksUpToDate>false</LinksUpToDate>
  <CharactersWithSpaces>21633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Transmission Electron Microscopy Assay for Bacterial Ultrastructure after Antimicrobial Peptide Treatment</dc:title>
  <dc:subject>TEM protocol for antimicrobial peptide-treated bacteria</dc:subject>
  <dc:creator>OpenAI</dc:creator>
  <cp:keywords>TEM, antimicrobial peptide, bacteria, E. coli, S. aureus, ultrastructure</cp:keywords>
  <dc:description>generated by python-docx</dc:description>
  <cp:lastModifiedBy>子森 彭</cp:lastModifiedBy>
  <cp:revision>2</cp:revision>
  <dcterms:created xsi:type="dcterms:W3CDTF">2026-06-11T02:57:00Z</dcterms:created>
  <dcterms:modified xsi:type="dcterms:W3CDTF">2026-06-11T02:57:00Z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2052-6.12.1.8902</vt:lpwstr>
  </property>
  <property fmtid="{D5CDD505-2E9C-101B-9397-08002B2CF9AE}" pid="3" name="ICV">
    <vt:lpwstr>981FCA0294A29D628AE3236ACB573746_42</vt:lpwstr>
  </property>
</Properties>
</file>