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65C5DA">
      <w:pPr>
        <w:spacing w:before="0" w:after="40" w:line="240" w:lineRule="auto"/>
        <w:jc w:val="center"/>
      </w:pPr>
      <w:r>
        <w:rPr>
          <w:rFonts w:ascii="Calibri" w:hAnsi="Calibri" w:eastAsia="微软雅黑"/>
          <w:b/>
          <w:i w:val="0"/>
          <w:color w:val="0F172A"/>
          <w:sz w:val="48"/>
        </w:rPr>
        <w:t>Human Practices</w:t>
      </w:r>
    </w:p>
    <w:p w14:paraId="4D129E05">
      <w:pPr>
        <w:spacing w:before="0" w:after="280" w:line="252" w:lineRule="auto"/>
        <w:jc w:val="center"/>
      </w:pPr>
      <w:r>
        <w:rPr>
          <w:rFonts w:ascii="Calibri" w:hAnsi="Calibri" w:eastAsia="微软雅黑"/>
          <w:b/>
          <w:i w:val="0"/>
          <w:color w:val="2563EB"/>
          <w:sz w:val="27"/>
        </w:rPr>
        <w:t>第二次调研：从乳腺炎场景走向耐药菌设计目标</w:t>
      </w:r>
    </w:p>
    <w:p w14:paraId="208B315D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概述</w:t>
      </w:r>
    </w:p>
    <w:p w14:paraId="53A8C2E4">
      <w:pPr>
        <w:spacing w:before="0" w:after="120" w:line="274" w:lineRule="auto"/>
        <w:rPr>
          <w:highlight w:val="yellow"/>
        </w:rPr>
      </w:pPr>
      <w:r>
        <w:rPr>
          <w:rFonts w:ascii="Calibri" w:hAnsi="Calibri" w:eastAsia="微软雅黑"/>
          <w:b w:val="0"/>
          <w:i w:val="0"/>
          <w:color w:val="0F172A"/>
          <w:sz w:val="21"/>
        </w:rPr>
        <w:t>2026 年 3 月 9 日，AMPlify 团队前往西北农林科技大学家畜生物学重点实验室，与刘军教授围绕羊/牛乳腺炎、养殖端抗生素使用和抗菌肽应用可行性进行访谈。这次调研承接了 1 月 24 日宠物医院调研：第一次调研让我们意识到“动物感染”不能被笼统处理，第二次调研进一步回答了一个更关键的问题：</w:t>
      </w:r>
      <w:r>
        <w:rPr>
          <w:rFonts w:ascii="Calibri" w:hAnsi="Calibri" w:eastAsia="微软雅黑"/>
          <w:b w:val="0"/>
          <w:i w:val="0"/>
          <w:color w:val="0F172A"/>
          <w:sz w:val="21"/>
          <w:highlight w:val="yellow"/>
        </w:rPr>
        <w:t>AMPlify 应该</w:t>
      </w:r>
      <w:r>
        <w:rPr>
          <w:rFonts w:hint="eastAsia"/>
          <w:b w:val="0"/>
          <w:i w:val="0"/>
          <w:color w:val="0F172A"/>
          <w:sz w:val="21"/>
          <w:highlight w:val="yellow"/>
          <w:lang w:val="en-US" w:eastAsia="zh-CN"/>
        </w:rPr>
        <w:t>聚焦于</w:t>
      </w:r>
      <w:r>
        <w:rPr>
          <w:rFonts w:ascii="Calibri" w:hAnsi="Calibri" w:eastAsia="微软雅黑"/>
          <w:b w:val="0"/>
          <w:i w:val="0"/>
          <w:color w:val="0F172A"/>
          <w:sz w:val="21"/>
          <w:highlight w:val="yellow"/>
        </w:rPr>
        <w:t>某一种疾病，还是</w:t>
      </w:r>
      <w:r>
        <w:rPr>
          <w:rFonts w:hint="eastAsia"/>
          <w:b w:val="0"/>
          <w:i w:val="0"/>
          <w:color w:val="0F172A"/>
          <w:sz w:val="21"/>
          <w:highlight w:val="yellow"/>
          <w:lang w:val="en-US" w:eastAsia="zh-CN"/>
        </w:rPr>
        <w:t>要转向</w:t>
      </w:r>
      <w:r>
        <w:rPr>
          <w:rFonts w:ascii="Calibri" w:hAnsi="Calibri" w:eastAsia="微软雅黑"/>
          <w:b w:val="0"/>
          <w:i w:val="0"/>
          <w:color w:val="0F172A"/>
          <w:sz w:val="21"/>
          <w:highlight w:val="yellow"/>
        </w:rPr>
        <w:t>更通用、</w:t>
      </w:r>
      <w:r>
        <w:rPr>
          <w:rFonts w:hint="eastAsia"/>
          <w:b w:val="0"/>
          <w:i w:val="0"/>
          <w:color w:val="0F172A"/>
          <w:sz w:val="21"/>
          <w:highlight w:val="yellow"/>
          <w:lang w:val="en-US" w:eastAsia="zh-CN"/>
        </w:rPr>
        <w:t>更广泛</w:t>
      </w:r>
      <w:r>
        <w:rPr>
          <w:rFonts w:ascii="Calibri" w:hAnsi="Calibri" w:eastAsia="微软雅黑"/>
          <w:b w:val="0"/>
          <w:i w:val="0"/>
          <w:color w:val="0F172A"/>
          <w:sz w:val="21"/>
          <w:highlight w:val="yellow"/>
        </w:rPr>
        <w:t>的设计要求。</w:t>
      </w:r>
    </w:p>
    <w:p w14:paraId="51874FC5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刘军教授肯定了抗菌肽作为新型抗菌策略的潜力，但提醒我们不要把项目限制在乳腺炎。乳腺</w:t>
      </w:r>
      <w:r>
        <w:rPr>
          <w:rFonts w:hint="eastAsia"/>
          <w:b w:val="0"/>
          <w:i w:val="0"/>
          <w:color w:val="0F172A"/>
          <w:sz w:val="21"/>
          <w:lang w:val="en-US" w:eastAsia="zh-CN"/>
        </w:rPr>
        <w:t>炎</w:t>
      </w:r>
      <w:r>
        <w:rPr>
          <w:rFonts w:hint="eastAsia"/>
          <w:b w:val="0"/>
          <w:i w:val="0"/>
          <w:color w:val="0F172A"/>
          <w:sz w:val="21"/>
          <w:highlight w:val="yellow"/>
          <w:lang w:val="en-US" w:eastAsia="zh-CN"/>
        </w:rPr>
        <w:t>可以作为</w:t>
      </w:r>
      <w:r>
        <w:rPr>
          <w:rFonts w:ascii="Calibri" w:hAnsi="Calibri" w:eastAsia="微软雅黑"/>
          <w:b w:val="0"/>
          <w:i w:val="0"/>
          <w:color w:val="0F172A"/>
          <w:sz w:val="21"/>
        </w:rPr>
        <w:t>养殖端减抗、弃奶损失、耐药压力和给药困难的真实入口；然而 AMPlify 的科学核心应是设计和筛选能高效杀伤耐药菌、同时低真核细胞毒性的候选抗菌肽。这个反馈直接改变了我们的 Model、Software、Wet Lab 解释和 Implementation 边界。</w:t>
      </w:r>
    </w:p>
    <w:p w14:paraId="2CF37C57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因此，这一轮 HP 的价值</w:t>
      </w:r>
      <w:r>
        <w:rPr>
          <w:rFonts w:ascii="Calibri" w:hAnsi="Calibri" w:eastAsia="微软雅黑"/>
          <w:b w:val="0"/>
          <w:i w:val="0"/>
          <w:color w:val="0F172A"/>
          <w:sz w:val="21"/>
          <w:highlight w:val="yellow"/>
        </w:rPr>
        <w:t>是</w:t>
      </w:r>
      <w:r>
        <w:rPr>
          <w:rFonts w:ascii="Calibri" w:hAnsi="Calibri" w:eastAsia="微软雅黑"/>
          <w:b w:val="0"/>
          <w:i w:val="0"/>
          <w:color w:val="0F172A"/>
          <w:sz w:val="21"/>
        </w:rPr>
        <w:t>“找到一个应用场景”，</w:t>
      </w:r>
      <w:r>
        <w:rPr>
          <w:rFonts w:hint="eastAsia"/>
          <w:b w:val="0"/>
          <w:i w:val="0"/>
          <w:color w:val="0F172A"/>
          <w:sz w:val="21"/>
          <w:highlight w:val="yellow"/>
          <w:lang w:val="en-US" w:eastAsia="zh-CN"/>
        </w:rPr>
        <w:t>并且</w:t>
      </w:r>
      <w:r>
        <w:rPr>
          <w:rFonts w:ascii="Calibri" w:hAnsi="Calibri" w:eastAsia="微软雅黑"/>
          <w:b w:val="0"/>
          <w:i w:val="0"/>
          <w:color w:val="0F172A"/>
          <w:sz w:val="21"/>
        </w:rPr>
        <w:t>把利益相关者对疗效、安全性、成本、递送和监管的判断转化为可进入模型评分和软件报告的指标。后续我们将把 revised Field Score、候选肽报告和风险边界返回给专家或养殖端，完成第二轮反馈。</w:t>
      </w:r>
    </w:p>
    <w:p w14:paraId="0C244025">
      <w:r>
        <w:br w:type="page"/>
      </w:r>
    </w:p>
    <w:p w14:paraId="339DBFBF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Human Practices 摘要卡片</w:t>
      </w:r>
    </w:p>
    <w:tbl>
      <w:tblPr>
        <w:tblStyle w:val="33"/>
        <w:tblW w:w="9360" w:type="dxa"/>
        <w:tblInd w:w="120" w:type="dxa"/>
        <w:tblBorders>
          <w:top w:val="single" w:color="D7DCE5" w:sz="6" w:space="0"/>
          <w:left w:val="single" w:color="D7DCE5" w:sz="6" w:space="0"/>
          <w:bottom w:val="single" w:color="D7DCE5" w:sz="6" w:space="0"/>
          <w:right w:val="single" w:color="D7DCE5" w:sz="6" w:space="0"/>
          <w:insideH w:val="single" w:color="D7DCE5" w:sz="6" w:space="0"/>
          <w:insideV w:val="single" w:color="D7DC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A32E342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E7A7A02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2563EB"/>
                <w:sz w:val="22"/>
              </w:rPr>
              <w:t>从乳腺炎应用场景到耐药菌设计目标</w:t>
            </w:r>
          </w:p>
        </w:tc>
      </w:tr>
      <w:tr w14:paraId="0A67829C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38FE090">
            <w:pPr>
              <w:spacing w:before="0" w:after="60" w:line="259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我们联系了谁：</w:t>
            </w:r>
          </w:p>
          <w:p w14:paraId="3EE53F68">
            <w:pPr>
              <w:pStyle w:val="16"/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西北农林科技大学家畜生物学重点实验室刘军教授。</w:t>
            </w:r>
          </w:p>
          <w:p w14:paraId="4D36FF00">
            <w:pPr>
              <w:pStyle w:val="16"/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讨论主题包括羊/牛乳腺炎、养殖端减抗、抗菌肽设计、给药方式、生产成本和安全评价。</w:t>
            </w:r>
          </w:p>
        </w:tc>
      </w:tr>
      <w:tr w14:paraId="469393F1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B1A1DA9">
            <w:pPr>
              <w:spacing w:before="0" w:after="60" w:line="259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为什么：</w:t>
            </w:r>
          </w:p>
          <w:p w14:paraId="7EE056AE">
            <w:pPr>
              <w:pStyle w:val="16"/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我们希望判断羊/牛乳腺炎是否适合作为 AI 设计抗菌肽的核心应用，并了解养殖端真正关心的疗效、成本、给药和残留问题。</w:t>
            </w:r>
            <w:bookmarkStart w:id="0" w:name="_GoBack"/>
            <w:bookmarkEnd w:id="0"/>
          </w:p>
        </w:tc>
      </w:tr>
      <w:tr w14:paraId="1490F39C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CDBE9BF">
            <w:pPr>
              <w:spacing w:before="0" w:after="60" w:line="259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我们学到了什么：</w:t>
            </w:r>
          </w:p>
          <w:p w14:paraId="320B7D40">
            <w:pPr>
              <w:pStyle w:val="16"/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乳腺炎在奶羊和奶牛中常见，病原组成受地区、场区环境、卧床清洁、挤奶流程和药浴消毒影响；杨凌附近羊群临床型乳腺炎约 5%–10%，隐性/亚临床乳腺炎可达 20%–30%。</w:t>
            </w:r>
          </w:p>
          <w:p w14:paraId="44E8BCB4">
            <w:pPr>
              <w:pStyle w:val="16"/>
              <w:spacing w:before="0" w:after="40" w:line="259" w:lineRule="auto"/>
            </w:pPr>
            <w:r>
              <w:rPr>
                <w:rFonts w:hint="eastAsia"/>
                <w:b w:val="0"/>
                <w:i w:val="0"/>
                <w:color w:val="0F172A"/>
                <w:sz w:val="18"/>
                <w:lang w:val="en-US" w:eastAsia="zh-CN"/>
              </w:rPr>
              <w:t>刘军教授</w:t>
            </w: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建议将科学问题提升为：设计能高效杀伤耐药菌、同时低真核细胞毒性的抗菌肽</w:t>
            </w:r>
            <w:r>
              <w:rPr>
                <w:rFonts w:hint="eastAsia"/>
                <w:b w:val="0"/>
                <w:i w:val="0"/>
                <w:color w:val="0F172A"/>
                <w:sz w:val="18"/>
                <w:highlight w:val="yellow"/>
                <w:lang w:val="en-US" w:eastAsia="zh-CN"/>
              </w:rPr>
              <w:t>来解决细菌耐药性问题</w:t>
            </w: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  <w:highlight w:val="yellow"/>
              </w:rPr>
              <w:t>。</w:t>
            </w:r>
          </w:p>
          <w:p w14:paraId="353A8BB5">
            <w:pPr>
              <w:pStyle w:val="16"/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抗菌肽的关键障碍不只是活性，还包括细胞毒性、递送路径、乳汁/消化环境稳定性、生产成本、残留与监管边界。</w:t>
            </w:r>
          </w:p>
        </w:tc>
      </w:tr>
      <w:tr w14:paraId="41DFEA18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FBF2004">
            <w:pPr>
              <w:spacing w:before="0" w:after="60" w:line="259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我们如何修改项目：</w:t>
            </w:r>
          </w:p>
          <w:p w14:paraId="35660677">
            <w:pPr>
              <w:pStyle w:val="16"/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将乳腺炎从“唯一目标疾病”调整为养殖端减抗和耐药压力的代表场景，把 AMPlify 主线转向耐药菌筛选、活性-安全窗口和证据分级报告。</w:t>
            </w:r>
          </w:p>
          <w:p w14:paraId="1FCF9842">
            <w:pPr>
              <w:pStyle w:val="16"/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在 Model/Software 中加入场景适配、毒性窗口、递送可行性、生产可行性和风险边界标签，让候选肽排序不只由预测活性决定。</w:t>
            </w:r>
          </w:p>
          <w:p w14:paraId="15C2E9B7">
            <w:pPr>
              <w:pStyle w:val="16"/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在后续实验叙事中强调 MIC、溶血、CCK-8、TEM、MD 与理化性质共同支持候选肽评估，并明确当前仍是体外和模型层面的候选筛选。</w:t>
            </w:r>
          </w:p>
        </w:tc>
      </w:tr>
      <w:tr w14:paraId="765971F5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8EAEC39">
            <w:pPr>
              <w:spacing w:before="0" w:after="60" w:line="259" w:lineRule="auto"/>
            </w:pPr>
            <w:r>
              <w:rPr>
                <w:rFonts w:ascii="Calibri" w:hAnsi="Calibri" w:eastAsia="微软雅黑"/>
                <w:b/>
                <w:i w:val="0"/>
                <w:color w:val="0F172A"/>
                <w:sz w:val="19"/>
              </w:rPr>
              <w:t>了解更多！</w:t>
            </w:r>
          </w:p>
          <w:p w14:paraId="09749941">
            <w:pPr>
              <w:pStyle w:val="16"/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本轮反馈不是让我们放弃乳腺炎，而是让它成为连接养殖端减抗、耐药菌问题和 AMPlify 设计指标的入口。</w:t>
            </w:r>
          </w:p>
          <w:p w14:paraId="0E9B89FE">
            <w:pPr>
              <w:pStyle w:val="16"/>
              <w:spacing w:before="0" w:after="40" w:line="259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8"/>
              </w:rPr>
              <w:t>下一步应把 revised Field Score / 软件报告 v2 返回给专家或养殖端，确认新的候选肽报告是否更符合真实应用判断。</w:t>
            </w:r>
          </w:p>
        </w:tc>
      </w:tr>
    </w:tbl>
    <w:p w14:paraId="70783FEF">
      <w:r>
        <w:br w:type="page"/>
      </w:r>
    </w:p>
    <w:p w14:paraId="41B67519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本轮 HP 小循环（DBTL）</w:t>
      </w:r>
    </w:p>
    <w:p w14:paraId="2BB62769">
      <w:pPr>
        <w:spacing w:before="0" w:after="160" w:line="274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HP / Cycle 2 / Iteration 1：在第一次宠物医院调研之后，我们需要判断项目是否应继续围绕单一疾病展开，还是应把动物感染、减抗和耐药菌筛选整合为更稳固的 AMPlify 主线。</w:t>
      </w:r>
    </w:p>
    <w:p w14:paraId="10438FE3">
      <w:pPr>
        <w:pStyle w:val="4"/>
        <w:spacing w:before="160" w:after="100" w:line="264" w:lineRule="auto"/>
      </w:pPr>
      <w:r>
        <w:rPr>
          <w:rFonts w:ascii="Calibri" w:hAnsi="Calibri" w:eastAsia="微软雅黑"/>
          <w:b/>
          <w:i w:val="0"/>
          <w:color w:val="2563EB"/>
          <w:sz w:val="26"/>
        </w:rPr>
        <w:t>Cycle 2: 从单一疾病场景到耐药菌设计目标</w:t>
      </w:r>
    </w:p>
    <w:tbl>
      <w:tblPr>
        <w:tblStyle w:val="33"/>
        <w:tblW w:w="9360" w:type="dxa"/>
        <w:tblInd w:w="120" w:type="dxa"/>
        <w:tblBorders>
          <w:top w:val="single" w:color="D7DCE5" w:sz="6" w:space="0"/>
          <w:left w:val="single" w:color="D7DCE5" w:sz="6" w:space="0"/>
          <w:bottom w:val="single" w:color="D7DCE5" w:sz="6" w:space="0"/>
          <w:right w:val="single" w:color="D7DCE5" w:sz="6" w:space="0"/>
          <w:insideH w:val="single" w:color="D7DCE5" w:sz="6" w:space="0"/>
          <w:insideV w:val="single" w:color="D7DC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5E509750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AF7E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0440ABE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DBTL 阶段</w:t>
            </w:r>
          </w:p>
        </w:tc>
        <w:tc>
          <w:tcPr>
            <w:tcW w:w="7660" w:type="dxa"/>
            <w:shd w:val="clear" w:color="auto" w:fill="EAF7E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0AE0970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AMPlify 内容</w:t>
            </w:r>
          </w:p>
        </w:tc>
      </w:tr>
      <w:tr w14:paraId="235077EE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875E1EA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Design</w:t>
            </w:r>
          </w:p>
        </w:tc>
        <w:tc>
          <w:tcPr>
            <w:tcW w:w="7660" w:type="dxa"/>
          </w:tcPr>
          <w:p w14:paraId="08A8645E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设计需要被验证的问题：羊/牛乳腺炎能否作为 AMPlify 的核心应用？如果不够，专家会把我们引向什么更关键的科学问题？</w:t>
            </w:r>
          </w:p>
        </w:tc>
      </w:tr>
      <w:tr w14:paraId="480CA0F0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CF08950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Build</w:t>
            </w:r>
          </w:p>
        </w:tc>
        <w:tc>
          <w:tcPr>
            <w:tcW w:w="7660" w:type="dxa"/>
          </w:tcPr>
          <w:p w14:paraId="76DF3748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准备 v1 材料：宠物医院调研后的应用场景假设、乳腺炎问题提纲、AI 抗菌肽生成框架、候选肽筛选思路和初步应用设想。</w:t>
            </w:r>
          </w:p>
        </w:tc>
      </w:tr>
      <w:tr w14:paraId="00DA209D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ADE1101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Test</w:t>
            </w:r>
          </w:p>
        </w:tc>
        <w:tc>
          <w:tcPr>
            <w:tcW w:w="7660" w:type="dxa"/>
          </w:tcPr>
          <w:p w14:paraId="48B0C200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与家畜生物学专家讨论乳腺炎流行情况、抗生素使用、耐药压力、抗菌肽给药方式、成本、安全性和数据需求，并追问哪些项目表述过强。</w:t>
            </w:r>
          </w:p>
        </w:tc>
      </w:tr>
      <w:tr w14:paraId="0B05160D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BD571B9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Learn</w:t>
            </w:r>
          </w:p>
        </w:tc>
        <w:tc>
          <w:tcPr>
            <w:tcW w:w="7660" w:type="dxa"/>
          </w:tcPr>
          <w:p w14:paraId="47AF6C18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形成 v2 修改：把主线从“乳腺炎治疗产品”改为“面向耐药菌的 AI 抗菌肽候选筛选”；软件报告增加场景适配、毒性窗口、递送/生产边界和证据等级；计划第二轮返回 revised report。</w:t>
            </w:r>
          </w:p>
        </w:tc>
      </w:tr>
    </w:tbl>
    <w:p w14:paraId="371EBB0D"/>
    <w:p w14:paraId="53641166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这次调研为什么重要？</w:t>
      </w:r>
    </w:p>
    <w:p w14:paraId="5F38D972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在宠物医院调研后，我们曾把项目想象为面向动物感染的抗菌肽候选开发。这个方向虽然合理，但仍然过宽：不同动物、不同组织、不同给药方式和不同诊疗场景都可能改变一个候选肽是否有价值。因此，我们选择进入西北农林科技大学家畜生物学重点实验室，追问一个更具体的生产场景：奶羊和奶牛乳腺炎是否可以成为 AMPlify 的核心故事？</w:t>
      </w:r>
    </w:p>
    <w:p w14:paraId="3157068C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专家反馈让我们形成了更清晰的判断：乳腺炎确实是养殖端常见且有经济影响的问题，但项目不应只围绕它展开。它更适合作为一个代表性场景，帮助我们理解抗生素减量、耐药压力、药物残留、给药困难和生产成本，从而把这些现实约束转化为候选肽筛选和软件报告中的设计要求。</w:t>
      </w:r>
    </w:p>
    <w:p w14:paraId="08B3E761">
      <w:pPr>
        <w:spacing w:before="80" w:after="40" w:line="274" w:lineRule="auto"/>
        <w:jc w:val="center"/>
      </w:pPr>
      <w:r>
        <w:drawing>
          <wp:inline distT="0" distB="0" distL="114300" distR="114300">
            <wp:extent cx="5257800" cy="3943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00BE">
      <w:pPr>
        <w:spacing w:before="0" w:after="160" w:line="252" w:lineRule="auto"/>
        <w:jc w:val="center"/>
      </w:pPr>
      <w:r>
        <w:rPr>
          <w:rFonts w:ascii="Calibri" w:hAnsi="Calibri" w:eastAsia="微软雅黑"/>
          <w:b w:val="0"/>
          <w:i w:val="0"/>
          <w:color w:val="505869"/>
          <w:sz w:val="17"/>
        </w:rPr>
        <w:t>图 1. AMPlify 团队于 2026 年 3 月 9 日拜访西北农林科技大学家畜生物学重点实验室，并围绕乳腺炎、耐药菌和抗菌肽设计进行访谈。</w:t>
      </w:r>
    </w:p>
    <w:p w14:paraId="354BCCBE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我们从乳腺炎场景学到了什么？</w:t>
      </w:r>
    </w:p>
    <w:p w14:paraId="19802EBC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乳腺炎本身让我们看到了养殖端问题的复杂性。刘军教授指出，乳腺炎不仅存在于奶羊，也普遍存在于奶牛；其病原组成会随地区、场区管理和环境卫生改变。临床可见的乳腺炎在杨凌附近羊群中约为 5%–10%，而隐性/亚临床乳腺炎可达 20%–30%。后者不一定立刻被发现，却可能通过产奶量下降、体细胞数增加和长期管理成本带来更隐蔽的损失。</w:t>
      </w:r>
    </w:p>
    <w:p w14:paraId="2274B2E8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这说明 AMPlify 不能把动物感染写成一个简单的“给药-杀菌”问题。标准化药浴、挤奶消毒、卧床清洁、弃奶期、常用头孢类或青霉素类抗生素、联合用药压力以及耐药基因传播，都会影响一个新型抗菌策略是否值得进入真实生产体系。</w:t>
      </w:r>
    </w:p>
    <w:p w14:paraId="200F381F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乳腺炎提供了真实需求：减抗、降低耐药压力、减少弃奶损失、提高局部感染控制能力。</w:t>
      </w:r>
    </w:p>
    <w:p w14:paraId="688F1DBF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乳腺炎也暴露了应用边界：病原多样、给药困难、乳汁环境复杂、成本敏感、残留和监管不可忽略。</w:t>
      </w:r>
    </w:p>
    <w:p w14:paraId="20A8A247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因此，它更适合作为 AMPlify 的应用入口，而不是唯一目标疾病。</w:t>
      </w:r>
    </w:p>
    <w:p w14:paraId="462F4D0D">
      <w:r>
        <w:br w:type="page"/>
      </w:r>
    </w:p>
    <w:p w14:paraId="5742D299">
      <w:pPr>
        <w:pStyle w:val="4"/>
        <w:spacing w:before="160" w:after="100" w:line="264" w:lineRule="auto"/>
      </w:pPr>
      <w:r>
        <w:rPr>
          <w:rFonts w:ascii="Calibri" w:hAnsi="Calibri" w:eastAsia="微软雅黑"/>
          <w:b/>
          <w:i w:val="0"/>
          <w:color w:val="2563EB"/>
          <w:sz w:val="26"/>
        </w:rPr>
        <w:t>专家反馈如何改变项目主线？</w:t>
      </w:r>
    </w:p>
    <w:tbl>
      <w:tblPr>
        <w:tblStyle w:val="33"/>
        <w:tblW w:w="9360" w:type="dxa"/>
        <w:tblInd w:w="120" w:type="dxa"/>
        <w:tblBorders>
          <w:top w:val="single" w:color="D7DCE5" w:sz="6" w:space="0"/>
          <w:left w:val="single" w:color="D7DCE5" w:sz="6" w:space="0"/>
          <w:bottom w:val="single" w:color="D7DCE5" w:sz="6" w:space="0"/>
          <w:right w:val="single" w:color="D7DCE5" w:sz="6" w:space="0"/>
          <w:insideH w:val="single" w:color="D7DCE5" w:sz="6" w:space="0"/>
          <w:insideV w:val="single" w:color="D7DC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400"/>
        <w:gridCol w:w="3660"/>
      </w:tblGrid>
      <w:tr w14:paraId="4BA1A5AA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EFE8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2678241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原始想法</w:t>
            </w:r>
          </w:p>
        </w:tc>
        <w:tc>
          <w:tcPr>
            <w:tcW w:w="3400" w:type="dxa"/>
            <w:shd w:val="clear" w:color="auto" w:fill="EFE8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E2CE582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专家反馈</w:t>
            </w:r>
          </w:p>
        </w:tc>
        <w:tc>
          <w:tcPr>
            <w:tcW w:w="3660" w:type="dxa"/>
            <w:shd w:val="clear" w:color="auto" w:fill="EFE8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436B132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AMPlify 的修改</w:t>
            </w:r>
          </w:p>
        </w:tc>
      </w:tr>
      <w:tr w14:paraId="01F3CF15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338E17FE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围绕羊/牛乳腺炎建立项目故事</w:t>
            </w:r>
          </w:p>
        </w:tc>
        <w:tc>
          <w:tcPr>
            <w:tcW w:w="3400" w:type="dxa"/>
          </w:tcPr>
          <w:p w14:paraId="3BE03CB7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乳腺炎有价值，但单一疾病过窄；抗菌肽研发更应面对人和动物共同的细菌耐药问题。</w:t>
            </w:r>
          </w:p>
        </w:tc>
        <w:tc>
          <w:tcPr>
            <w:tcW w:w="3660" w:type="dxa"/>
          </w:tcPr>
          <w:p w14:paraId="53AC854D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主线升级为“面向耐药菌的 AI 抗菌肽候选筛选”，乳腺炎作为养殖端减抗场景保留。</w:t>
            </w:r>
          </w:p>
        </w:tc>
      </w:tr>
      <w:tr w14:paraId="4E1829B8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00AD0AA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主要比较候选肽的抗菌活性</w:t>
            </w:r>
          </w:p>
        </w:tc>
        <w:tc>
          <w:tcPr>
            <w:tcW w:w="3400" w:type="dxa"/>
          </w:tcPr>
          <w:p w14:paraId="02CB5240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天然抗菌肽活性常弱于抗生素；真正关键是高效杀伤耐药菌，同时低细胞毒性。</w:t>
            </w:r>
          </w:p>
        </w:tc>
        <w:tc>
          <w:tcPr>
            <w:tcW w:w="3660" w:type="dxa"/>
          </w:tcPr>
          <w:p w14:paraId="27D33FCE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把 MIC/耐药菌表现、溶血、CCK-8 和安全窗口写入候选肽评估逻辑。</w:t>
            </w:r>
          </w:p>
        </w:tc>
      </w:tr>
      <w:tr w14:paraId="6FD7F31A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237C46C6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设想口服、乳房灌注或普通注射</w:t>
            </w:r>
          </w:p>
        </w:tc>
        <w:tc>
          <w:tcPr>
            <w:tcW w:w="3400" w:type="dxa"/>
          </w:tcPr>
          <w:p w14:paraId="5B85A8C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口服易被消化系统降解；乳房灌注可能被乳汁稀释或冲散；注射存在组织靶向问题。</w:t>
            </w:r>
          </w:p>
        </w:tc>
        <w:tc>
          <w:tcPr>
            <w:tcW w:w="3660" w:type="dxa"/>
          </w:tcPr>
          <w:p w14:paraId="6249A357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在软件报告中加入递送可行性和应用场景标签，避免把候选肽直接写成可用兽药。</w:t>
            </w:r>
          </w:p>
        </w:tc>
      </w:tr>
      <w:tr w14:paraId="65057893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6F3DCC8A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AI 生成越多序列越好</w:t>
            </w:r>
          </w:p>
        </w:tc>
        <w:tc>
          <w:tcPr>
            <w:tcW w:w="3400" w:type="dxa"/>
          </w:tcPr>
          <w:p w14:paraId="0449FE9D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关键不是盲目生成，而是高质量标注活性、毒性、广谱性、靶向性等数据。</w:t>
            </w:r>
          </w:p>
        </w:tc>
        <w:tc>
          <w:tcPr>
            <w:tcW w:w="3660" w:type="dxa"/>
          </w:tcPr>
          <w:p w14:paraId="79EEB76A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优化模型叙事：将 TAM-Flow 生成与 Oracle 评分、理化性质、毒性窗口和证据等级结合。</w:t>
            </w:r>
          </w:p>
        </w:tc>
      </w:tr>
    </w:tbl>
    <w:p w14:paraId="4AD9E551"/>
    <w:p w14:paraId="51A015AD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AMPlify 具体修改了什么？</w:t>
      </w:r>
    </w:p>
    <w:p w14:paraId="75960C65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这轮访谈后，我们把项目修改落到四个层面：模型、实验解释、软件报告和安全实施边界。</w:t>
      </w:r>
    </w:p>
    <w:p w14:paraId="4E65C490">
      <w:pPr>
        <w:pStyle w:val="4"/>
        <w:spacing w:before="160" w:after="100" w:line="264" w:lineRule="auto"/>
      </w:pPr>
      <w:r>
        <w:rPr>
          <w:rFonts w:ascii="Calibri" w:hAnsi="Calibri" w:eastAsia="微软雅黑"/>
          <w:b/>
          <w:i w:val="0"/>
          <w:color w:val="2563EB"/>
          <w:sz w:val="26"/>
        </w:rPr>
        <w:t>从反馈到项目对象</w:t>
      </w:r>
    </w:p>
    <w:tbl>
      <w:tblPr>
        <w:tblStyle w:val="33"/>
        <w:tblW w:w="9360" w:type="dxa"/>
        <w:tblInd w:w="120" w:type="dxa"/>
        <w:tblBorders>
          <w:top w:val="single" w:color="D7DCE5" w:sz="6" w:space="0"/>
          <w:left w:val="single" w:color="D7DCE5" w:sz="6" w:space="0"/>
          <w:bottom w:val="single" w:color="D7DCE5" w:sz="6" w:space="0"/>
          <w:right w:val="single" w:color="D7DCE5" w:sz="6" w:space="0"/>
          <w:insideH w:val="single" w:color="D7DCE5" w:sz="6" w:space="0"/>
          <w:insideV w:val="single" w:color="D7DC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900"/>
        <w:gridCol w:w="3660"/>
      </w:tblGrid>
      <w:tr w14:paraId="639486F5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FF4E5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0232C11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项目模块</w:t>
            </w:r>
          </w:p>
        </w:tc>
        <w:tc>
          <w:tcPr>
            <w:tcW w:w="3900" w:type="dxa"/>
            <w:shd w:val="clear" w:color="auto" w:fill="FFF4E5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872FC7B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修改后的写法/对象</w:t>
            </w:r>
          </w:p>
        </w:tc>
        <w:tc>
          <w:tcPr>
            <w:tcW w:w="3660" w:type="dxa"/>
            <w:shd w:val="clear" w:color="auto" w:fill="FFF4E5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C3337CC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为什么这样改</w:t>
            </w:r>
          </w:p>
        </w:tc>
      </w:tr>
      <w:tr w14:paraId="45AB33E3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D66A70E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Model</w:t>
            </w:r>
          </w:p>
        </w:tc>
        <w:tc>
          <w:tcPr>
            <w:tcW w:w="3900" w:type="dxa"/>
          </w:tcPr>
          <w:p w14:paraId="7F88F777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从单一活性预测转向 Field Score：活性、毒性、机制支持、理化性质、生产可行性、场景适配和证据等级。</w:t>
            </w:r>
          </w:p>
        </w:tc>
        <w:tc>
          <w:tcPr>
            <w:tcW w:w="3660" w:type="dxa"/>
          </w:tcPr>
          <w:p w14:paraId="68A0D331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专家强调抗菌肽价值取决于“高效杀耐药菌 + 低细胞毒性”，而不是只看一个预测分数。</w:t>
            </w:r>
          </w:p>
        </w:tc>
      </w:tr>
      <w:tr w14:paraId="55E72536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05E4CE5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Wet Lab</w:t>
            </w:r>
          </w:p>
        </w:tc>
        <w:tc>
          <w:tcPr>
            <w:tcW w:w="3900" w:type="dxa"/>
          </w:tcPr>
          <w:p w14:paraId="1579695B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把 MIC、溶血、CCK-8、TEM、MD 和理化性质整合为证据链；优先说明候选肽在体外条件下的活性与安全相关表现。</w:t>
            </w:r>
          </w:p>
        </w:tc>
        <w:tc>
          <w:tcPr>
            <w:tcW w:w="3660" w:type="dxa"/>
          </w:tcPr>
          <w:p w14:paraId="7C56CFF1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避免过度声称治疗效果，同时能解释为什么 7 条候选肽进入后续验证。</w:t>
            </w:r>
          </w:p>
        </w:tc>
      </w:tr>
      <w:tr w14:paraId="158CB477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68002DD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Software</w:t>
            </w:r>
          </w:p>
        </w:tc>
        <w:tc>
          <w:tcPr>
            <w:tcW w:w="3900" w:type="dxa"/>
          </w:tcPr>
          <w:p w14:paraId="355D0DFA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候选肽报告加入 Risk Boundary Panel、Application Scenario Panel 和 Evidence Level 标签。</w:t>
            </w:r>
          </w:p>
        </w:tc>
        <w:tc>
          <w:tcPr>
            <w:tcW w:w="3660" w:type="dxa"/>
          </w:tcPr>
          <w:p w14:paraId="58AD72AD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让用户知道哪些结论来自实测，哪些来自模型推断，哪些仍需未来验证。</w:t>
            </w:r>
          </w:p>
        </w:tc>
      </w:tr>
      <w:tr w14:paraId="135307F3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197CD93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Implementation</w:t>
            </w:r>
          </w:p>
        </w:tc>
        <w:tc>
          <w:tcPr>
            <w:tcW w:w="3900" w:type="dxa"/>
          </w:tcPr>
          <w:p w14:paraId="1A32B2AC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明确当前不进行动物治疗、环境释放或无监管应用；未来应用需验证剂量、残留、毒性、递送和生产体系。</w:t>
            </w:r>
          </w:p>
        </w:tc>
        <w:tc>
          <w:tcPr>
            <w:tcW w:w="3660" w:type="dxa"/>
          </w:tcPr>
          <w:p w14:paraId="005C7419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回应专家关于细胞毒性、残留、成本、合成/表达困难和新兽药审批的提醒。</w:t>
            </w:r>
          </w:p>
        </w:tc>
      </w:tr>
      <w:tr w14:paraId="3A06280F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8AABD6D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Human Practices</w:t>
            </w:r>
          </w:p>
        </w:tc>
        <w:tc>
          <w:tcPr>
            <w:tcW w:w="3900" w:type="dxa"/>
          </w:tcPr>
          <w:p w14:paraId="52BF311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后续应访问标准化牧场或实验羊场，并把 revised report 返回给专家或养殖端做第二轮反馈。</w:t>
            </w:r>
          </w:p>
        </w:tc>
        <w:tc>
          <w:tcPr>
            <w:tcW w:w="3660" w:type="dxa"/>
          </w:tcPr>
          <w:p w14:paraId="130D84A5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让 HP 不停留在访谈总结，而是继续修正评分权重、风险标签和应用边界。</w:t>
            </w:r>
          </w:p>
        </w:tc>
      </w:tr>
    </w:tbl>
    <w:p w14:paraId="5DBA607D"/>
    <w:p w14:paraId="28D0C988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我们如何把反馈放回模型和软件？</w:t>
      </w:r>
    </w:p>
    <w:p w14:paraId="0E97CF8C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刘军教授的反馈让我们重新定义候选肽报告的用户问题。原先的问题是：“哪条肽预测活性最高？”修订后的问题是：“哪条肽在耐药菌杀伤、真核细胞安全、机制支持、生产可行性和应用边界之间最值得继续验证？”</w:t>
      </w:r>
    </w:p>
    <w:p w14:paraId="0D2E35F6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因此，AMPlify 的软件报告不应只展示一个排名，而应展示候选肽为什么被推荐、哪些证据已经获得、哪些风险仍未验证。特别是对于乳腺炎等养殖端场景，报告需要提示给药方式和残留监管尚未解决，不能把体外活性直接等同于兽药可用性。</w:t>
      </w:r>
    </w:p>
    <w:p w14:paraId="528A6902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Field Score v2：增加安全窗口、递送可行性、生产可行性和场景适配维度。</w:t>
      </w:r>
    </w:p>
    <w:p w14:paraId="00C31B79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Software Report v2：区分 measured data、model inference、literature-supported 和 future validation。</w:t>
      </w:r>
    </w:p>
    <w:p w14:paraId="6F0ECB99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Risk Boundary Panel：标明细胞毒性、溶血、残留、递送、生产体系和监管仍需进一步验证。</w:t>
      </w:r>
    </w:p>
    <w:p w14:paraId="7E643602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Second Feedback：将候选肽报告 v2 返回给家畜生物学专家或牧场端，询问是否更符合真实决策需求。</w:t>
      </w:r>
    </w:p>
    <w:p w14:paraId="2C7442E5">
      <w:pPr>
        <w:pStyle w:val="4"/>
        <w:spacing w:before="160" w:after="100" w:line="264" w:lineRule="auto"/>
      </w:pPr>
      <w:r>
        <w:rPr>
          <w:rFonts w:ascii="Calibri" w:hAnsi="Calibri" w:eastAsia="微软雅黑"/>
          <w:b/>
          <w:i w:val="0"/>
          <w:color w:val="2563EB"/>
          <w:sz w:val="26"/>
        </w:rPr>
        <w:t>第二轮反馈计划</w:t>
      </w:r>
    </w:p>
    <w:tbl>
      <w:tblPr>
        <w:tblStyle w:val="33"/>
        <w:tblW w:w="9360" w:type="dxa"/>
        <w:tblInd w:w="120" w:type="dxa"/>
        <w:tblBorders>
          <w:top w:val="single" w:color="D7DCE5" w:sz="6" w:space="0"/>
          <w:left w:val="single" w:color="D7DCE5" w:sz="6" w:space="0"/>
          <w:bottom w:val="single" w:color="D7DCE5" w:sz="6" w:space="0"/>
          <w:right w:val="single" w:color="D7DCE5" w:sz="6" w:space="0"/>
          <w:insideH w:val="single" w:color="D7DCE5" w:sz="6" w:space="0"/>
          <w:insideV w:val="single" w:color="D7DC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460"/>
        <w:gridCol w:w="3600"/>
      </w:tblGrid>
      <w:tr w14:paraId="0E9FA453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EFE8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A5C6D4B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返回材料</w:t>
            </w:r>
          </w:p>
        </w:tc>
        <w:tc>
          <w:tcPr>
            <w:tcW w:w="3460" w:type="dxa"/>
            <w:shd w:val="clear" w:color="auto" w:fill="EFE8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605B0DC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希望确认的问题</w:t>
            </w:r>
          </w:p>
        </w:tc>
        <w:tc>
          <w:tcPr>
            <w:tcW w:w="3600" w:type="dxa"/>
            <w:shd w:val="clear" w:color="auto" w:fill="EFE8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CCDA812">
            <w:pPr>
              <w:spacing w:before="0" w:after="0" w:line="264" w:lineRule="auto"/>
            </w:pPr>
            <w:r>
              <w:rPr>
                <w:rFonts w:ascii="Calibri" w:hAnsi="Calibri" w:eastAsia="微软雅黑"/>
                <w:b/>
                <w:i w:val="0"/>
                <w:color w:val="714CB9"/>
                <w:sz w:val="18"/>
              </w:rPr>
              <w:t>可能形成的 v2/v3 修改</w:t>
            </w:r>
          </w:p>
        </w:tc>
      </w:tr>
      <w:tr w14:paraId="7D1784FF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12904BC0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候选肽报告 v2</w:t>
            </w:r>
          </w:p>
        </w:tc>
        <w:tc>
          <w:tcPr>
            <w:tcW w:w="3460" w:type="dxa"/>
          </w:tcPr>
          <w:p w14:paraId="7D9186C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专家是否能从报告中判断候选肽的优势、限制和风险？</w:t>
            </w:r>
          </w:p>
        </w:tc>
        <w:tc>
          <w:tcPr>
            <w:tcW w:w="3600" w:type="dxa"/>
          </w:tcPr>
          <w:p w14:paraId="34D37C81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调整 Field Score 权重和报告首页信息顺序。</w:t>
            </w:r>
          </w:p>
        </w:tc>
      </w:tr>
      <w:tr w14:paraId="0547457D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30FDBDF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活性-毒性窗口图</w:t>
            </w:r>
          </w:p>
        </w:tc>
        <w:tc>
          <w:tcPr>
            <w:tcW w:w="3460" w:type="dxa"/>
          </w:tcPr>
          <w:p w14:paraId="0D9163B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MIC、溶血和 CCK-8 是否足以支持“继续验证”的判断，而不是过度声称安全？</w:t>
            </w:r>
          </w:p>
        </w:tc>
        <w:tc>
          <w:tcPr>
            <w:tcW w:w="3600" w:type="dxa"/>
          </w:tcPr>
          <w:p w14:paraId="26B7AAE1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增加证据等级、浓度范围和“尚需验证”提示。</w:t>
            </w:r>
          </w:p>
        </w:tc>
      </w:tr>
      <w:tr w14:paraId="508040A1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0445CCCF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应用边界图</w:t>
            </w:r>
          </w:p>
        </w:tc>
        <w:tc>
          <w:tcPr>
            <w:tcW w:w="3460" w:type="dxa"/>
          </w:tcPr>
          <w:p w14:paraId="23070A4B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哪些给药路径可谨慎讨论？哪些必须放入未来工作？</w:t>
            </w:r>
          </w:p>
        </w:tc>
        <w:tc>
          <w:tcPr>
            <w:tcW w:w="3600" w:type="dxa"/>
          </w:tcPr>
          <w:p w14:paraId="022AE7F2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修订 Implementation 和 Safety 页面措辞。</w:t>
            </w:r>
          </w:p>
        </w:tc>
      </w:tr>
      <w:tr w14:paraId="352FD58C">
        <w:tblPrEx>
          <w:tblBorders>
            <w:top w:val="single" w:color="D7DCE5" w:sz="6" w:space="0"/>
            <w:left w:val="single" w:color="D7DCE5" w:sz="6" w:space="0"/>
            <w:bottom w:val="single" w:color="D7DCE5" w:sz="6" w:space="0"/>
            <w:right w:val="single" w:color="D7DCE5" w:sz="6" w:space="0"/>
            <w:insideH w:val="single" w:color="D7DCE5" w:sz="6" w:space="0"/>
            <w:insideV w:val="single" w:color="D7DC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0BA988BF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牧场调研计划</w:t>
            </w:r>
          </w:p>
        </w:tc>
        <w:tc>
          <w:tcPr>
            <w:tcW w:w="3460" w:type="dxa"/>
          </w:tcPr>
          <w:p w14:paraId="5431D25E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富平、陇县或西农实验羊场中，哪类问题最值得现场确认？</w:t>
            </w:r>
          </w:p>
        </w:tc>
        <w:tc>
          <w:tcPr>
            <w:tcW w:w="3600" w:type="dxa"/>
          </w:tcPr>
          <w:p w14:paraId="2911E494"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i w:val="0"/>
                <w:color w:val="0F172A"/>
                <w:sz w:val="17"/>
              </w:rPr>
              <w:t>完善利益相关者地图和后续 HP 路线。</w:t>
            </w:r>
          </w:p>
        </w:tc>
      </w:tr>
    </w:tbl>
    <w:p w14:paraId="2B367345"/>
    <w:p w14:paraId="744A6888">
      <w:pPr>
        <w:pStyle w:val="3"/>
        <w:spacing w:before="260" w:after="100" w:line="264" w:lineRule="auto"/>
      </w:pPr>
      <w:r>
        <w:rPr>
          <w:rFonts w:ascii="Calibri" w:hAnsi="Calibri" w:eastAsia="微软雅黑"/>
          <w:b/>
          <w:i w:val="0"/>
          <w:color w:val="0F172A"/>
          <w:sz w:val="32"/>
        </w:rPr>
        <w:t>仍需谨慎说明的内容</w:t>
      </w:r>
    </w:p>
    <w:p w14:paraId="4EBFB70F">
      <w:pPr>
        <w:spacing w:before="0" w:after="120" w:line="274" w:lineRule="auto"/>
      </w:pPr>
      <w:r>
        <w:rPr>
          <w:rFonts w:ascii="Calibri" w:hAnsi="Calibri" w:eastAsia="微软雅黑"/>
          <w:b w:val="0"/>
          <w:i w:val="0"/>
          <w:color w:val="0F172A"/>
          <w:sz w:val="21"/>
        </w:rPr>
        <w:t>这次访谈让 AMPlify 的主线更加清楚，也提醒我们必须把证据边界写清楚。当前项目可以展示 AI 生成候选肽、体外活性和安全相关实验、TEM/MD 机制支持以及软件化的候选评估；但不能声称候选肽已经能直接治疗乳腺炎、替代抗生素、无残留风险或已满足兽药应用条件。</w:t>
      </w:r>
    </w:p>
    <w:p w14:paraId="64E5CBD5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需要继续确认：公开姓名和照片授权、访谈表述是否需要专家复核。</w:t>
      </w:r>
    </w:p>
    <w:p w14:paraId="0694A6E9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需要继续补充：真实耐药菌株验证、剂量-安全窗口、乳汁/蛋白酶稳定性、残留和环境归趋。</w:t>
      </w:r>
    </w:p>
    <w:p w14:paraId="5073D3A2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需要避免过度表述：临床/兽药可用、全面替代抗生素、对生态无风险、工程菌释放或未经监管的实际应用。</w:t>
      </w:r>
    </w:p>
    <w:p w14:paraId="41C8DA9D">
      <w:pPr>
        <w:pStyle w:val="16"/>
        <w:spacing w:before="0" w:after="60" w:line="269" w:lineRule="auto"/>
      </w:pPr>
      <w:r>
        <w:rPr>
          <w:rFonts w:ascii="Calibri" w:hAnsi="Calibri" w:eastAsia="微软雅黑"/>
          <w:b w:val="0"/>
          <w:i w:val="0"/>
          <w:color w:val="0F172A"/>
          <w:sz w:val="20"/>
        </w:rPr>
        <w:t>适合放入 Wiki 的对象：本轮 nutshell 卡片、DBTL 小循环、before/after 修改表、候选肽报告 v1/v2 反馈计划和应用边界说明。</w:t>
      </w:r>
    </w:p>
    <w:sectPr>
      <w:headerReference r:id="rId5" w:type="default"/>
      <w:footerReference r:id="rId6" w:type="default"/>
      <w:pgSz w:w="12240" w:h="15840"/>
      <w:pgMar w:top="1152" w:right="1224" w:bottom="1080" w:left="1224" w:header="173" w:footer="17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9" w:usb3="00000000" w:csb0="000001F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E2543">
    <w:pPr>
      <w:spacing w:after="0"/>
      <w:jc w:val="center"/>
    </w:pPr>
    <w:r>
      <w:drawing>
        <wp:inline distT="0" distB="0" distL="114300" distR="114300">
          <wp:extent cx="1115060" cy="43815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5568" cy="4384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4" w:lineRule="auto"/>
      </w:pPr>
      <w:r>
        <w:separator/>
      </w:r>
    </w:p>
  </w:footnote>
  <w:footnote w:type="continuationSeparator" w:id="1">
    <w:p>
      <w:pPr>
        <w:spacing w:before="0" w:after="0" w:line="27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838F5"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502081988" name="mic_bg_protocol_body_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081988" name="mic_bg_protocol_body_b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B2A44"/>
    <w:rsid w:val="002827FA"/>
    <w:rsid w:val="0029639D"/>
    <w:rsid w:val="002F0666"/>
    <w:rsid w:val="00326F90"/>
    <w:rsid w:val="0047278C"/>
    <w:rsid w:val="006147DC"/>
    <w:rsid w:val="007F6D19"/>
    <w:rsid w:val="00AA1D8D"/>
    <w:rsid w:val="00B47730"/>
    <w:rsid w:val="00BF6AE5"/>
    <w:rsid w:val="00CB0664"/>
    <w:rsid w:val="00F522F0"/>
    <w:rsid w:val="00FC693F"/>
    <w:rsid w:val="25067BD0"/>
    <w:rsid w:val="72A149A8"/>
    <w:rsid w:val="9DD91385"/>
    <w:rsid w:val="DFFEA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74" w:lineRule="auto"/>
    </w:pPr>
    <w:rPr>
      <w:rFonts w:ascii="Calibri" w:hAnsi="Calibri" w:eastAsia="微软雅黑" w:cstheme="minorBidi"/>
      <w:color w:val="0F172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60" w:after="100" w:line="264" w:lineRule="auto"/>
      <w:outlineLvl w:val="0"/>
    </w:pPr>
    <w:rPr>
      <w:rFonts w:asciiTheme="majorHAnsi" w:hAnsiTheme="majorHAnsi" w:eastAsiaTheme="majorEastAsia" w:cstheme="majorBidi"/>
      <w:b/>
      <w:bCs/>
      <w:color w:val="0F172A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b/>
      <w:bCs/>
      <w:color w:val="2563EB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40" w:after="60" w:line="259" w:lineRule="auto"/>
      <w:outlineLvl w:val="2"/>
    </w:pPr>
    <w:rPr>
      <w:rFonts w:asciiTheme="majorHAnsi" w:hAnsiTheme="majorHAnsi" w:eastAsiaTheme="majorEastAsia" w:cstheme="majorBidi"/>
      <w:b/>
      <w:bCs/>
      <w:color w:val="714CB9"/>
      <w:sz w:val="23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before="0" w:after="60" w:line="269" w:lineRule="auto"/>
      <w:contextualSpacing/>
    </w:pPr>
    <w:rPr>
      <w:rFonts w:ascii="Calibri" w:hAnsi="Calibri" w:eastAsia="微软雅黑"/>
      <w:color w:val="0F172A"/>
      <w:sz w:val="19"/>
    </w:rPr>
  </w:style>
  <w:style w:type="paragraph" w:styleId="17">
    <w:name w:val="annotation text"/>
    <w:basedOn w:val="1"/>
    <w:semiHidden/>
    <w:unhideWhenUsed/>
    <w:qFormat/>
    <w:uiPriority w:val="99"/>
    <w:pPr>
      <w:jc w:val="left"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16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4">
    <w:name w:val="Table Grid"/>
    <w:basedOn w:val="3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页眉 字符"/>
    <w:basedOn w:val="133"/>
    <w:link w:val="26"/>
    <w:qFormat/>
    <w:uiPriority w:val="99"/>
  </w:style>
  <w:style w:type="character" w:customStyle="1" w:styleId="137">
    <w:name w:val="页脚 字符"/>
    <w:basedOn w:val="133"/>
    <w:link w:val="25"/>
    <w:qFormat/>
    <w:uiPriority w:val="99"/>
  </w:style>
  <w:style w:type="paragraph" w:styleId="138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3"/>
    <w:link w:val="20"/>
    <w:qFormat/>
    <w:uiPriority w:val="99"/>
  </w:style>
  <w:style w:type="character" w:customStyle="1" w:styleId="146">
    <w:name w:val="正文文本 2 字符"/>
    <w:basedOn w:val="133"/>
    <w:link w:val="29"/>
    <w:qFormat/>
    <w:uiPriority w:val="99"/>
  </w:style>
  <w:style w:type="character" w:customStyle="1" w:styleId="147">
    <w:name w:val="正文文本 3 字符"/>
    <w:basedOn w:val="133"/>
    <w:link w:val="18"/>
    <w:qFormat/>
    <w:uiPriority w:val="99"/>
    <w:rPr>
      <w:sz w:val="16"/>
      <w:szCs w:val="16"/>
    </w:rPr>
  </w:style>
  <w:style w:type="character" w:customStyle="1" w:styleId="148">
    <w:name w:val="宏文本 字符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不明显强调1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明显强调1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参考1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明显参考1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书籍标题1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3801</Words>
  <Characters>4413</Characters>
  <Lines>486</Lines>
  <Paragraphs>348</Paragraphs>
  <TotalTime>37</TotalTime>
  <ScaleCrop>false</ScaleCrop>
  <LinksUpToDate>false</LinksUpToDate>
  <CharactersWithSpaces>4583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2026-06-11T02:57:00Z</dcterms:created>
  <dc:creator>OpenAI</dc:creator>
  <dc:description>generated by python-docx</dc:description>
  <cp:keywords>TEM, antimicrobial peptide, bacteria, E. coli, S. aureus, ultrastructure</cp:keywords>
  <cp:lastModifiedBy>王宏祥</cp:lastModifiedBy>
  <dcterms:modified xsi:type="dcterms:W3CDTF">2026-06-14T07:04:18Z</dcterms:modified>
  <dc:subject>TEM protocol for antimicrobial peptide-treated bacteria</dc:subject>
  <dc:title>Transmission Electron Microscopy Assay for Bacterial Ultrastructure after Antimicrobial Peptide Treatment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981FCA0294A29D628AE3236ACB573746_42</vt:lpwstr>
  </property>
  <property fmtid="{D5CDD505-2E9C-101B-9397-08002B2CF9AE}" pid="4" name="KSOTemplateDocerSaveRecord">
    <vt:lpwstr>eyJoZGlkIjoiNjY5YjE2NzIxZDljNzc1YzQ4NzY3MjlmMTg2MTRhNWMiLCJ1c2VySWQiOiIxNzM4NDk4NjQ5In0=</vt:lpwstr>
  </property>
</Properties>
</file>