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20" w:line="240" w:lineRule="auto"/>
      </w:pPr>
      <w:r>
        <w:rPr>
          <w:rFonts w:ascii="Calibri" w:hAnsi="Calibri" w:eastAsia="Microsoft YaHei"/>
          <w:b/>
          <w:i w:val="0"/>
          <w:color w:val="0F172A"/>
          <w:sz w:val="44"/>
        </w:rPr>
        <w:t>Human Practices</w:t>
      </w:r>
    </w:p>
    <w:p>
      <w:pPr>
        <w:spacing w:before="0" w:after="240" w:line="254" w:lineRule="auto"/>
      </w:pPr>
      <w:r>
        <w:rPr>
          <w:rFonts w:ascii="Calibri" w:hAnsi="Calibri" w:eastAsia="Microsoft YaHei"/>
          <w:b/>
          <w:i w:val="0"/>
          <w:color w:val="2563EB"/>
          <w:sz w:val="26"/>
        </w:rPr>
        <w:t>早期技术访谈：赵天意老师如何推动 AMPlify 从“能生成”走向“可判断、可验证”</w:t>
      </w:r>
    </w:p>
    <w:p>
      <w:pPr>
        <w:pStyle w:val="1"/>
        <w:keepNext/>
        <w:spacing w:before="260" w:after="100" w:line="264" w:lineRule="auto"/>
      </w:pPr>
      <w:r>
        <w:rPr>
          <w:rFonts w:ascii="Calibri" w:hAnsi="Calibri" w:eastAsia="Microsoft YaHei"/>
          <w:b/>
          <w:i w:val="0"/>
          <w:color w:val="0F172A"/>
          <w:sz w:val="32"/>
        </w:rPr>
        <w:t>概述</w:t>
      </w:r>
    </w:p>
    <w:p>
      <w:pPr>
        <w:spacing w:before="0" w:after="120" w:line="274" w:lineRule="auto"/>
      </w:pPr>
      <w:r>
        <w:rPr>
          <w:rFonts w:ascii="Calibri" w:hAnsi="Calibri" w:eastAsia="Microsoft YaHei"/>
          <w:b w:val="0"/>
          <w:i w:val="0"/>
          <w:color w:val="0F172A"/>
          <w:sz w:val="21"/>
        </w:rPr>
        <w:t>这次访谈应放在 AMPlify 主线的早期。彼时我们已经形成“用 AI 生成抗菌肽并送样验证”的初步想法，但模型仍容易被写成一个单纯的生成器：它能输出序列，却还没有充分回答这些序列为什么应被认为是抗菌肽、为什么值得合成、失败风险如何降低，以及湿实验如何承接模型判断。</w:t>
      </w:r>
    </w:p>
    <w:p>
      <w:pPr>
        <w:spacing w:before="0" w:after="120" w:line="274" w:lineRule="auto"/>
      </w:pPr>
      <w:r>
        <w:rPr>
          <w:rFonts w:ascii="Calibri" w:hAnsi="Calibri" w:eastAsia="Microsoft YaHei"/>
          <w:b w:val="0"/>
          <w:i w:val="0"/>
          <w:color w:val="0F172A"/>
          <w:sz w:val="21"/>
        </w:rPr>
        <w:t>赵天意老师的反馈非常直接：项目核心方向可以成立，但必须补上判别器、训练策略、数据清洗、结构/膜验证和实验验证这几块证据。正是这些质询，把 AMPlify 从“生成一些候选序列”推进为现在的 TAM-Flow 框架：以 ESM-2 + LoRA 作为编码基础，以 DiT-Rectified Flow 生成候选 latent，以 Oracle 专家模型和 RAFT 奖励过滤降低无效候选比例，再通过理化性质、MD 和湿实验验证闭合证据链。</w:t>
      </w:r>
    </w:p>
    <w:p>
      <w:pPr>
        <w:spacing w:before="0" w:after="120" w:line="274" w:lineRule="auto"/>
      </w:pPr>
      <w:r>
        <w:rPr>
          <w:rFonts w:ascii="Calibri" w:hAnsi="Calibri" w:eastAsia="Microsoft YaHei"/>
          <w:b w:val="0"/>
          <w:i w:val="0"/>
          <w:color w:val="0F172A"/>
          <w:sz w:val="21"/>
        </w:rPr>
        <w:t>因此，这不是一次普通的背景访谈，而是 AMPlify 早期最关键的技术校准之一。它帮助我们把后续干实验和湿实验组织成同一条故事线：模型负责提出可被解释和排序的候选，实验负责检验这些候选是否真正具有抗菌活性和可接受的安全窗口。</w:t>
      </w:r>
    </w:p>
    <w:p>
      <w:pPr>
        <w:pStyle w:val="1"/>
        <w:keepNext/>
        <w:spacing w:before="260" w:after="100" w:line="264" w:lineRule="auto"/>
      </w:pPr>
      <w:r>
        <w:rPr>
          <w:rFonts w:ascii="Calibri" w:hAnsi="Calibri" w:eastAsia="Microsoft YaHei"/>
          <w:b/>
          <w:i w:val="0"/>
          <w:color w:val="0F172A"/>
          <w:sz w:val="32"/>
        </w:rPr>
        <w:t>Human Practices 摘要卡片</w:t>
      </w:r>
    </w:p>
    <w:tbl>
      <w:tblPr>
        <w:tblW w:type="dxa" w:w="9360"/>
        <w:tblLayout w:type="fixed"/>
        <w:tblLook w:firstColumn="1" w:firstRow="1" w:lastColumn="0" w:lastRow="0" w:noHBand="0" w:noVBand="1" w:val="04A0"/>
        <w:tblInd w:w="120" w:type="dxa"/>
        <w:tblBorders>
          <w:top w:val="single" w:sz="6" w:space="0" w:color="D7DCE5"/>
          <w:left w:val="single" w:sz="6" w:space="0" w:color="D7DCE5"/>
          <w:bottom w:val="single" w:sz="6" w:space="0" w:color="D7DCE5"/>
          <w:right w:val="single" w:sz="6" w:space="0" w:color="D7DCE5"/>
          <w:insideH w:val="single" w:sz="6" w:space="0" w:color="D7DCE5"/>
          <w:insideV w:val="single" w:sz="6" w:space="0" w:color="D7DCE5"/>
        </w:tblBorders>
      </w:tblPr>
      <w:tblGrid>
        <w:gridCol w:w="9360"/>
      </w:tblGrid>
      <w:tr>
        <w:tc>
          <w:tcPr>
            <w:tcW w:type="dxa" w:w="9360"/>
            <w:vAlign w:val="center"/>
            <w:tcMar>
              <w:top w:w="95" w:type="dxa"/>
              <w:start w:w="120" w:type="dxa"/>
              <w:bottom w:w="95" w:type="dxa"/>
              <w:end w:w="120" w:type="dxa"/>
            </w:tcMar>
            <w:shd w:fill="EAF2FF"/>
          </w:tcPr>
          <w:p>
            <w:pPr>
              <w:spacing w:before="0" w:after="0" w:line="264" w:lineRule="auto"/>
            </w:pPr>
            <w:r/>
            <w:r>
              <w:rPr>
                <w:rFonts w:ascii="Calibri" w:hAnsi="Calibri" w:eastAsia="Microsoft YaHei"/>
                <w:b/>
                <w:i w:val="0"/>
                <w:color w:val="2563EB"/>
                <w:sz w:val="22"/>
              </w:rPr>
              <w:t>From a generic generator to an evidence-bounded AMP design model</w:t>
            </w:r>
          </w:p>
        </w:tc>
      </w:tr>
      <w:tr>
        <w:tc>
          <w:tcPr>
            <w:tcW w:type="dxa" w:w="9360"/>
            <w:vAlign w:val="center"/>
            <w:tcMar>
              <w:top w:w="95" w:type="dxa"/>
              <w:start w:w="120" w:type="dxa"/>
              <w:bottom w:w="95" w:type="dxa"/>
              <w:end w:w="120" w:type="dxa"/>
            </w:tcMar>
          </w:tcPr>
          <w:p>
            <w:pPr>
              <w:spacing w:before="0" w:after="0" w:line="269" w:lineRule="auto"/>
            </w:pPr>
            <w:r/>
            <w:r>
              <w:rPr>
                <w:rFonts w:ascii="Calibri" w:hAnsi="Calibri" w:eastAsia="Microsoft YaHei"/>
                <w:b/>
                <w:i w:val="0"/>
                <w:color w:val="0F172A"/>
                <w:sz w:val="18"/>
              </w:rPr>
              <w:t>我们联系了谁：</w:t>
            </w:r>
            <w:r>
              <w:rPr>
                <w:rFonts w:ascii="Calibri" w:hAnsi="Calibri" w:eastAsia="Microsoft YaHei"/>
                <w:b w:val="0"/>
                <w:i w:val="0"/>
                <w:color w:val="0F172A"/>
                <w:sz w:val="18"/>
              </w:rPr>
              <w:t>赵天意老师，生物大数据相关方向教师。访谈发生在 AMPlify 早期模型设计阶段，主题集中在生成式抗菌肽模型、判别器、训练数据和后续验证链。</w:t>
            </w:r>
          </w:p>
        </w:tc>
      </w:tr>
      <w:tr>
        <w:tc>
          <w:tcPr>
            <w:tcW w:type="dxa" w:w="9360"/>
            <w:vAlign w:val="center"/>
            <w:tcMar>
              <w:top w:w="95" w:type="dxa"/>
              <w:start w:w="120" w:type="dxa"/>
              <w:bottom w:w="95" w:type="dxa"/>
              <w:end w:w="120" w:type="dxa"/>
            </w:tcMar>
          </w:tcPr>
          <w:p>
            <w:pPr>
              <w:spacing w:before="0" w:after="0" w:line="269" w:lineRule="auto"/>
            </w:pPr>
            <w:r/>
            <w:r>
              <w:rPr>
                <w:rFonts w:ascii="Calibri" w:hAnsi="Calibri" w:eastAsia="Microsoft YaHei"/>
                <w:b/>
                <w:i w:val="0"/>
                <w:color w:val="0F172A"/>
                <w:sz w:val="18"/>
              </w:rPr>
              <w:t>为什么：</w:t>
            </w:r>
            <w:r>
              <w:rPr>
                <w:rFonts w:ascii="Calibri" w:hAnsi="Calibri" w:eastAsia="Microsoft YaHei"/>
                <w:b w:val="0"/>
                <w:i w:val="0"/>
                <w:color w:val="0F172A"/>
                <w:sz w:val="18"/>
              </w:rPr>
              <w:t>当时我们已经能基于 ESM-2 生成候选肽，并计划合成少量序列，但仍需要确认：这些序列是否真的具有抗菌靶向性，模型是否被数据噪声误导，有限经费下如何提高命中率。</w:t>
            </w:r>
          </w:p>
        </w:tc>
      </w:tr>
      <w:tr>
        <w:tc>
          <w:tcPr>
            <w:tcW w:type="dxa" w:w="9360"/>
            <w:vAlign w:val="center"/>
            <w:tcMar>
              <w:top w:w="95" w:type="dxa"/>
              <w:start w:w="120" w:type="dxa"/>
              <w:bottom w:w="95" w:type="dxa"/>
              <w:end w:w="120" w:type="dxa"/>
            </w:tcMar>
          </w:tcPr>
          <w:p>
            <w:pPr>
              <w:spacing w:before="0" w:after="0" w:line="269" w:lineRule="auto"/>
            </w:pPr>
            <w:r/>
            <w:r>
              <w:rPr>
                <w:rFonts w:ascii="Calibri" w:hAnsi="Calibri" w:eastAsia="Microsoft YaHei"/>
                <w:b/>
                <w:i w:val="0"/>
                <w:color w:val="0F172A"/>
                <w:sz w:val="18"/>
              </w:rPr>
              <w:t>我们学到了什么：</w:t>
            </w:r>
            <w:r>
              <w:rPr>
                <w:rFonts w:ascii="Calibri" w:hAnsi="Calibri" w:eastAsia="Microsoft YaHei"/>
                <w:b w:val="0"/>
                <w:i w:val="0"/>
                <w:color w:val="0F172A"/>
                <w:sz w:val="18"/>
              </w:rPr>
              <w:t>赵老师指出，只有生成器是不够的。项目必须建立能判断抗菌潜力、毒性和关键性质的判别器；不能把大量无关蛋白序列直接混入抗菌肽微调；少量合成候选面临很高失败风险；结构和膜相互作用分析应作为筛选依据。</w:t>
            </w:r>
          </w:p>
        </w:tc>
      </w:tr>
      <w:tr>
        <w:tc>
          <w:tcPr>
            <w:tcW w:type="dxa" w:w="9360"/>
            <w:vAlign w:val="center"/>
            <w:tcMar>
              <w:top w:w="95" w:type="dxa"/>
              <w:start w:w="120" w:type="dxa"/>
              <w:bottom w:w="95" w:type="dxa"/>
              <w:end w:w="120" w:type="dxa"/>
            </w:tcMar>
          </w:tcPr>
          <w:p>
            <w:pPr>
              <w:spacing w:before="0" w:after="0" w:line="269" w:lineRule="auto"/>
            </w:pPr>
            <w:r/>
            <w:r>
              <w:rPr>
                <w:rFonts w:ascii="Calibri" w:hAnsi="Calibri" w:eastAsia="Microsoft YaHei"/>
                <w:b/>
                <w:i w:val="0"/>
                <w:color w:val="0F172A"/>
                <w:sz w:val="18"/>
              </w:rPr>
              <w:t>我们如何修改项目：</w:t>
            </w:r>
            <w:r>
              <w:rPr>
                <w:rFonts w:ascii="Calibri" w:hAnsi="Calibri" w:eastAsia="Microsoft YaHei"/>
                <w:b w:val="0"/>
                <w:i w:val="0"/>
                <w:color w:val="0F172A"/>
                <w:sz w:val="18"/>
              </w:rPr>
              <w:t>我们将早期 ESM-2 微调思路发展为 TAM-Flow：ESM-2 + LoRA 编码、DiT-Rectified Flow 生成、Oracle 专家模型评分和 RAFT 奖励过滤；同时加入理化性质、MD、合成质谱、MIC、溶血、CCK-8 和 TEM，形成从预测到实测的证据链。</w:t>
            </w:r>
          </w:p>
        </w:tc>
      </w:tr>
      <w:tr>
        <w:tc>
          <w:tcPr>
            <w:tcW w:type="dxa" w:w="9360"/>
            <w:vAlign w:val="center"/>
            <w:tcMar>
              <w:top w:w="95" w:type="dxa"/>
              <w:start w:w="120" w:type="dxa"/>
              <w:bottom w:w="95" w:type="dxa"/>
              <w:end w:w="120" w:type="dxa"/>
            </w:tcMar>
          </w:tcPr>
          <w:p>
            <w:pPr>
              <w:spacing w:before="0" w:after="0" w:line="269" w:lineRule="auto"/>
            </w:pPr>
            <w:r/>
            <w:r>
              <w:rPr>
                <w:rFonts w:ascii="Calibri" w:hAnsi="Calibri" w:eastAsia="Microsoft YaHei"/>
                <w:b/>
                <w:i w:val="0"/>
                <w:color w:val="0F172A"/>
                <w:sz w:val="18"/>
              </w:rPr>
              <w:t>了解更多！</w:t>
            </w:r>
            <w:r>
              <w:rPr>
                <w:rFonts w:ascii="Calibri" w:hAnsi="Calibri" w:eastAsia="Microsoft YaHei"/>
                <w:b w:val="0"/>
                <w:i w:val="0"/>
                <w:color w:val="0F172A"/>
                <w:sz w:val="18"/>
              </w:rPr>
              <w:t>下面的叙事部分说明这次早期技术质询如何把 AMPlify 从“能生成序列”推进到“能筛选、能解释、能被实验检验”的当前模型。</w:t>
            </w:r>
          </w:p>
        </w:tc>
      </w:tr>
    </w:tbl>
    <w:p>
      <w:pPr>
        <w:spacing w:before="160" w:after="40" w:line="274" w:lineRule="auto"/>
        <w:jc w:val="center"/>
      </w:pPr>
      <w:r>
        <w:drawing>
          <wp:inline xmlns:a="http://schemas.openxmlformats.org/drawingml/2006/main" xmlns:pic="http://schemas.openxmlformats.org/drawingml/2006/picture">
            <wp:extent cx="5532120" cy="2851068"/>
            <wp:docPr id="1" name="Picture 1"/>
            <wp:cNvGraphicFramePr>
              <a:graphicFrameLocks noChangeAspect="1"/>
            </wp:cNvGraphicFramePr>
            <a:graphic>
              <a:graphicData uri="http://schemas.openxmlformats.org/drawingml/2006/picture">
                <pic:pic>
                  <pic:nvPicPr>
                    <pic:cNvPr id="0" name="image1.jpeg"/>
                    <pic:cNvPicPr/>
                  </pic:nvPicPr>
                  <pic:blipFill>
                    <a:blip r:embed="rId12"/>
                    <a:stretch>
                      <a:fillRect/>
                    </a:stretch>
                  </pic:blipFill>
                  <pic:spPr>
                    <a:xfrm>
                      <a:off x="0" y="0"/>
                      <a:ext cx="5532120" cy="2851068"/>
                    </a:xfrm>
                    <a:prstGeom prst="rect"/>
                  </pic:spPr>
                </pic:pic>
              </a:graphicData>
            </a:graphic>
          </wp:inline>
        </w:drawing>
      </w:r>
    </w:p>
    <w:p>
      <w:pPr>
        <w:spacing w:before="40" w:after="160" w:line="259" w:lineRule="auto"/>
        <w:jc w:val="center"/>
      </w:pPr>
      <w:r>
        <w:rPr>
          <w:rFonts w:ascii="Calibri" w:hAnsi="Calibri" w:eastAsia="Microsoft YaHei"/>
          <w:b w:val="0"/>
          <w:i/>
          <w:color w:val="505869"/>
          <w:sz w:val="16"/>
        </w:rPr>
        <w:t>图 1. AMPlify 团队在生物大数据教育部重点实验室进行早期技术交流。</w:t>
      </w:r>
    </w:p>
    <w:p>
      <w:pPr>
        <w:pStyle w:val="1"/>
        <w:keepNext/>
        <w:spacing w:before="260" w:after="100" w:line="264" w:lineRule="auto"/>
      </w:pPr>
      <w:r>
        <w:rPr>
          <w:rFonts w:ascii="Calibri" w:hAnsi="Calibri" w:eastAsia="Microsoft YaHei"/>
          <w:b/>
          <w:i w:val="0"/>
          <w:color w:val="0F172A"/>
          <w:sz w:val="32"/>
        </w:rPr>
        <w:t>为什么这次访谈要放在项目早期？</w:t>
      </w:r>
    </w:p>
    <w:p>
      <w:pPr>
        <w:spacing w:before="0" w:after="120" w:line="274" w:lineRule="auto"/>
      </w:pPr>
      <w:r>
        <w:rPr>
          <w:rFonts w:ascii="Calibri" w:hAnsi="Calibri" w:eastAsia="Microsoft YaHei"/>
          <w:b w:val="0"/>
          <w:i w:val="0"/>
          <w:color w:val="0F172A"/>
          <w:sz w:val="21"/>
        </w:rPr>
        <w:t>如果按照时间线理解，赵老师的访谈发生在 AMPlify 还处于“模型能不能生成候选肽”的阶段，而不是最终实验完成之后。它的重要性在于：老师提出的问题后来几乎逐一变成了我们当前模型和验证体系中的模块。</w:t>
      </w:r>
    </w:p>
    <w:p>
      <w:pPr>
        <w:spacing w:before="0" w:after="120" w:line="274" w:lineRule="auto"/>
      </w:pPr>
      <w:r>
        <w:rPr>
          <w:rFonts w:ascii="Calibri" w:hAnsi="Calibri" w:eastAsia="Microsoft YaHei"/>
          <w:b w:val="0"/>
          <w:i w:val="0"/>
          <w:color w:val="0F172A"/>
          <w:sz w:val="21"/>
        </w:rPr>
        <w:t>在早期版本中，我们更容易强调 ESM-2 微调、生成序列的理化性质分析、新颖性、多样性和少量合成候选。赵老师提醒我们，这些结果还不能充分证明“抗菌”。如果没有判别器和验证链，生成器可能只是产生普通短肽；如果直接把大量无关蛋白序列混入微调，模型可能学习到噪声；如果只合成 6 条，命中率可能很低。</w:t>
      </w:r>
    </w:p>
    <w:p>
      <w:pPr>
        <w:spacing w:before="0" w:after="120" w:line="274" w:lineRule="auto"/>
      </w:pPr>
      <w:r>
        <w:rPr>
          <w:rFonts w:ascii="Calibri" w:hAnsi="Calibri" w:eastAsia="Microsoft YaHei"/>
          <w:b w:val="0"/>
          <w:i w:val="0"/>
          <w:color w:val="0F172A"/>
          <w:sz w:val="21"/>
        </w:rPr>
        <w:t>这让我们把项目叙事从“AI 设计出了抗菌肽”改为更可靠的表达：AI 生成候选，多个判别器和规则筛选降低风险，MD 和理化性质提供机制支持，最后由 MIC、溶血、细胞毒性和 TEM 给出实验证据。这个变化也是 AMPlify 当前模型可信度的来源。</w:t>
      </w:r>
    </w:p>
    <w:p>
      <w:r>
        <w:br w:type="page"/>
      </w:r>
    </w:p>
    <w:p>
      <w:pPr>
        <w:pStyle w:val="1"/>
        <w:keepNext/>
        <w:spacing w:before="260" w:after="100" w:line="264" w:lineRule="auto"/>
      </w:pPr>
      <w:r>
        <w:rPr>
          <w:rFonts w:ascii="Calibri" w:hAnsi="Calibri" w:eastAsia="Microsoft YaHei"/>
          <w:b/>
          <w:i w:val="0"/>
          <w:color w:val="0F172A"/>
          <w:sz w:val="32"/>
        </w:rPr>
        <w:t>赵老师提出的问题，我们现在如何回应？</w:t>
      </w:r>
    </w:p>
    <w:tbl>
      <w:tblPr>
        <w:tblW w:type="dxa" w:w="9360"/>
        <w:tblLayout w:type="fixed"/>
        <w:tblLook w:firstColumn="1" w:firstRow="1" w:lastColumn="0" w:lastRow="0" w:noHBand="0" w:noVBand="1" w:val="04A0"/>
        <w:tblInd w:w="120" w:type="dxa"/>
        <w:tblBorders>
          <w:top w:val="single" w:sz="6" w:space="0" w:color="D7DCE5"/>
          <w:left w:val="single" w:sz="6" w:space="0" w:color="D7DCE5"/>
          <w:bottom w:val="single" w:sz="6" w:space="0" w:color="D7DCE5"/>
          <w:right w:val="single" w:sz="6" w:space="0" w:color="D7DCE5"/>
          <w:insideH w:val="single" w:sz="6" w:space="0" w:color="D7DCE5"/>
          <w:insideV w:val="single" w:sz="6" w:space="0" w:color="D7DCE5"/>
        </w:tblBorders>
      </w:tblPr>
      <w:tblGrid>
        <w:gridCol w:w="2100"/>
        <w:gridCol w:w="3150"/>
        <w:gridCol w:w="4110"/>
      </w:tblGrid>
      <w:tr>
        <w:trPr>
          <w:tblHeader w:val="true"/>
        </w:trPr>
        <w:tc>
          <w:tcPr>
            <w:tcW w:type="dxa" w:w="2100"/>
            <w:vAlign w:val="center"/>
            <w:tcMar>
              <w:top w:w="95" w:type="dxa"/>
              <w:start w:w="120" w:type="dxa"/>
              <w:bottom w:w="95" w:type="dxa"/>
              <w:end w:w="120" w:type="dxa"/>
            </w:tcMar>
            <w:shd w:fill="EAF2FF"/>
          </w:tcPr>
          <w:p>
            <w:pPr>
              <w:spacing w:before="0" w:after="0" w:line="264" w:lineRule="auto"/>
            </w:pPr>
            <w:r/>
            <w:r>
              <w:rPr>
                <w:rFonts w:ascii="Calibri" w:hAnsi="Calibri" w:eastAsia="Microsoft YaHei"/>
                <w:b/>
                <w:i w:val="0"/>
                <w:color w:val="1E40AF"/>
                <w:sz w:val="18"/>
              </w:rPr>
              <w:t>赵老师提出的问题</w:t>
            </w:r>
          </w:p>
        </w:tc>
        <w:tc>
          <w:tcPr>
            <w:tcW w:type="dxa" w:w="3150"/>
            <w:vAlign w:val="center"/>
            <w:tcMar>
              <w:top w:w="95" w:type="dxa"/>
              <w:start w:w="120" w:type="dxa"/>
              <w:bottom w:w="95" w:type="dxa"/>
              <w:end w:w="120" w:type="dxa"/>
            </w:tcMar>
            <w:shd w:fill="EAF2FF"/>
          </w:tcPr>
          <w:p>
            <w:pPr>
              <w:spacing w:before="0" w:after="0" w:line="264" w:lineRule="auto"/>
            </w:pPr>
            <w:r/>
            <w:r>
              <w:rPr>
                <w:rFonts w:ascii="Calibri" w:hAnsi="Calibri" w:eastAsia="Microsoft YaHei"/>
                <w:b/>
                <w:i w:val="0"/>
                <w:color w:val="1E40AF"/>
                <w:sz w:val="18"/>
              </w:rPr>
              <w:t>早期风险</w:t>
            </w:r>
          </w:p>
        </w:tc>
        <w:tc>
          <w:tcPr>
            <w:tcW w:type="dxa" w:w="4110"/>
            <w:vAlign w:val="center"/>
            <w:tcMar>
              <w:top w:w="95" w:type="dxa"/>
              <w:start w:w="120" w:type="dxa"/>
              <w:bottom w:w="95" w:type="dxa"/>
              <w:end w:w="120" w:type="dxa"/>
            </w:tcMar>
            <w:shd w:fill="EAF2FF"/>
          </w:tcPr>
          <w:p>
            <w:pPr>
              <w:spacing w:before="0" w:after="0" w:line="264" w:lineRule="auto"/>
            </w:pPr>
            <w:r/>
            <w:r>
              <w:rPr>
                <w:rFonts w:ascii="Calibri" w:hAnsi="Calibri" w:eastAsia="Microsoft YaHei"/>
                <w:b/>
                <w:i w:val="0"/>
                <w:color w:val="1E40AF"/>
                <w:sz w:val="18"/>
              </w:rPr>
              <w:t>AMPlify 当前对策</w:t>
            </w:r>
          </w:p>
        </w:tc>
      </w:tr>
      <w:tr>
        <w:trPr>
          <w:cantSplit/>
        </w:trPr>
        <w:tc>
          <w:tcPr>
            <w:tcW w:type="dxa" w:w="2100"/>
            <w:vAlign w:val="center"/>
            <w:tcMar>
              <w:top w:w="95" w:type="dxa"/>
              <w:start w:w="120" w:type="dxa"/>
              <w:bottom w:w="95" w:type="dxa"/>
              <w:end w:w="120" w:type="dxa"/>
            </w:tcMar>
          </w:tcPr>
          <w:p>
            <w:pPr>
              <w:spacing w:before="0" w:after="0" w:line="264" w:lineRule="auto"/>
            </w:pPr>
            <w:r/>
            <w:r>
              <w:rPr>
                <w:rFonts w:ascii="Calibri" w:hAnsi="Calibri" w:eastAsia="Microsoft YaHei"/>
                <w:b w:val="0"/>
                <w:i w:val="0"/>
                <w:color w:val="0F172A"/>
                <w:sz w:val="17"/>
              </w:rPr>
              <w:t>生成器缺少抗菌靶向性</w:t>
            </w:r>
          </w:p>
        </w:tc>
        <w:tc>
          <w:tcPr>
            <w:tcW w:type="dxa" w:w="3150"/>
            <w:vAlign w:val="center"/>
            <w:tcMar>
              <w:top w:w="95" w:type="dxa"/>
              <w:start w:w="120" w:type="dxa"/>
              <w:bottom w:w="95" w:type="dxa"/>
              <w:end w:w="120" w:type="dxa"/>
            </w:tcMar>
          </w:tcPr>
          <w:p>
            <w:pPr>
              <w:spacing w:before="0" w:after="0" w:line="264" w:lineRule="auto"/>
            </w:pPr>
            <w:r/>
            <w:r>
              <w:rPr>
                <w:rFonts w:ascii="Calibri" w:hAnsi="Calibri" w:eastAsia="Microsoft YaHei"/>
                <w:b w:val="0"/>
                <w:i w:val="0"/>
                <w:color w:val="0F172A"/>
                <w:sz w:val="17"/>
              </w:rPr>
              <w:t>赵老师指出，仅靠生成式模型会得到通用肽序列；必须有能判断抗菌潜力和关键性质的判别器。</w:t>
            </w:r>
          </w:p>
        </w:tc>
        <w:tc>
          <w:tcPr>
            <w:tcW w:type="dxa" w:w="4110"/>
            <w:vAlign w:val="center"/>
            <w:tcMar>
              <w:top w:w="95" w:type="dxa"/>
              <w:start w:w="120" w:type="dxa"/>
              <w:bottom w:w="95" w:type="dxa"/>
              <w:end w:w="120" w:type="dxa"/>
            </w:tcMar>
          </w:tcPr>
          <w:p>
            <w:pPr>
              <w:spacing w:before="0" w:after="0" w:line="264" w:lineRule="auto"/>
            </w:pPr>
            <w:r/>
            <w:r>
              <w:rPr>
                <w:rFonts w:ascii="Calibri" w:hAnsi="Calibri" w:eastAsia="Microsoft YaHei"/>
                <w:b w:val="0"/>
                <w:i w:val="0"/>
                <w:color w:val="0F172A"/>
                <w:sz w:val="17"/>
              </w:rPr>
              <w:t>当前 TAM-Flow 不直接在氨基酸字母空间盲目生成，而是先用 ESM-2 表征进入 latent space，再用 Oracle 专家模型预测 MIC 活性、毒性风险和 AMP-like 概率，并通过 RAFT 奖励过滤优化候选。</w:t>
            </w:r>
          </w:p>
        </w:tc>
      </w:tr>
      <w:tr>
        <w:trPr>
          <w:cantSplit/>
        </w:trPr>
        <w:tc>
          <w:tcPr>
            <w:tcW w:type="dxa" w:w="2100"/>
            <w:vAlign w:val="center"/>
            <w:tcMar>
              <w:top w:w="95" w:type="dxa"/>
              <w:start w:w="120" w:type="dxa"/>
              <w:bottom w:w="95" w:type="dxa"/>
              <w:end w:w="120" w:type="dxa"/>
            </w:tcMar>
            <w:shd w:fill="F6F8FB"/>
          </w:tcPr>
          <w:p>
            <w:pPr>
              <w:spacing w:before="0" w:after="0" w:line="264" w:lineRule="auto"/>
            </w:pPr>
            <w:r/>
            <w:r>
              <w:rPr>
                <w:rFonts w:ascii="Calibri" w:hAnsi="Calibri" w:eastAsia="Microsoft YaHei"/>
                <w:b w:val="0"/>
                <w:i w:val="0"/>
                <w:color w:val="0F172A"/>
                <w:sz w:val="17"/>
              </w:rPr>
              <w:t>有效数据量有限且混合无关蛋白会引入噪声</w:t>
            </w:r>
          </w:p>
        </w:tc>
        <w:tc>
          <w:tcPr>
            <w:tcW w:type="dxa" w:w="3150"/>
            <w:vAlign w:val="center"/>
            <w:tcMar>
              <w:top w:w="95" w:type="dxa"/>
              <w:start w:w="120" w:type="dxa"/>
              <w:bottom w:w="95" w:type="dxa"/>
              <w:end w:w="120" w:type="dxa"/>
            </w:tcMar>
            <w:shd w:fill="F6F8FB"/>
          </w:tcPr>
          <w:p>
            <w:pPr>
              <w:spacing w:before="0" w:after="0" w:line="264" w:lineRule="auto"/>
            </w:pPr>
            <w:r/>
            <w:r>
              <w:rPr>
                <w:rFonts w:ascii="Calibri" w:hAnsi="Calibri" w:eastAsia="Microsoft YaHei"/>
                <w:b w:val="0"/>
                <w:i w:val="0"/>
                <w:color w:val="0F172A"/>
                <w:sz w:val="17"/>
              </w:rPr>
              <w:t>1 万余条抗菌肽数据不足以支撑粗放生成；直接混入大量无关蛋白序列会削弱抗菌肽特异性学习。</w:t>
            </w:r>
          </w:p>
        </w:tc>
        <w:tc>
          <w:tcPr>
            <w:tcW w:type="dxa" w:w="4110"/>
            <w:vAlign w:val="center"/>
            <w:tcMar>
              <w:top w:w="95" w:type="dxa"/>
              <w:start w:w="120" w:type="dxa"/>
              <w:bottom w:w="95" w:type="dxa"/>
              <w:end w:w="120" w:type="dxa"/>
            </w:tcMar>
            <w:shd w:fill="F6F8FB"/>
          </w:tcPr>
          <w:p>
            <w:pPr>
              <w:spacing w:before="0" w:after="0" w:line="264" w:lineRule="auto"/>
            </w:pPr>
            <w:r/>
            <w:r>
              <w:rPr>
                <w:rFonts w:ascii="Calibri" w:hAnsi="Calibri" w:eastAsia="Microsoft YaHei"/>
                <w:b w:val="0"/>
                <w:i w:val="0"/>
                <w:color w:val="0F172A"/>
                <w:sz w:val="17"/>
              </w:rPr>
              <w:t>我们改为依托预训练 ESM-2 的蛋白语言知识，再在清洗后的抗菌肽/毒性/溶血等数据上做 LoRA 适配和判别模型训练。数据仅保留 20 种标准氨基酸，长度设为 5-50 aa，并去除非标准字符、修饰残基和异常序列。</w:t>
            </w:r>
          </w:p>
        </w:tc>
      </w:tr>
      <w:tr>
        <w:trPr>
          <w:cantSplit/>
        </w:trPr>
        <w:tc>
          <w:tcPr>
            <w:tcW w:type="dxa" w:w="2100"/>
            <w:vAlign w:val="center"/>
            <w:tcMar>
              <w:top w:w="95" w:type="dxa"/>
              <w:start w:w="120" w:type="dxa"/>
              <w:bottom w:w="95" w:type="dxa"/>
              <w:end w:w="120" w:type="dxa"/>
            </w:tcMar>
          </w:tcPr>
          <w:p>
            <w:pPr>
              <w:spacing w:before="0" w:after="0" w:line="264" w:lineRule="auto"/>
            </w:pPr>
            <w:r/>
            <w:r>
              <w:rPr>
                <w:rFonts w:ascii="Calibri" w:hAnsi="Calibri" w:eastAsia="Microsoft YaHei"/>
                <w:b w:val="0"/>
                <w:i w:val="0"/>
                <w:color w:val="0F172A"/>
                <w:sz w:val="17"/>
              </w:rPr>
              <w:t>少量合成候选命中率低</w:t>
            </w:r>
          </w:p>
        </w:tc>
        <w:tc>
          <w:tcPr>
            <w:tcW w:type="dxa" w:w="3150"/>
            <w:vAlign w:val="center"/>
            <w:tcMar>
              <w:top w:w="95" w:type="dxa"/>
              <w:start w:w="120" w:type="dxa"/>
              <w:bottom w:w="95" w:type="dxa"/>
              <w:end w:w="120" w:type="dxa"/>
            </w:tcMar>
          </w:tcPr>
          <w:p>
            <w:pPr>
              <w:spacing w:before="0" w:after="0" w:line="264" w:lineRule="auto"/>
            </w:pPr>
            <w:r/>
            <w:r>
              <w:rPr>
                <w:rFonts w:ascii="Calibri" w:hAnsi="Calibri" w:eastAsia="Microsoft YaHei"/>
                <w:b w:val="0"/>
                <w:i w:val="0"/>
                <w:color w:val="0F172A"/>
                <w:sz w:val="17"/>
              </w:rPr>
              <w:t>每条肽的合成和验证成本较高，只送少量候选会使失败风险很高。</w:t>
            </w:r>
          </w:p>
        </w:tc>
        <w:tc>
          <w:tcPr>
            <w:tcW w:type="dxa" w:w="4110"/>
            <w:vAlign w:val="center"/>
            <w:tcMar>
              <w:top w:w="95" w:type="dxa"/>
              <w:start w:w="120" w:type="dxa"/>
              <w:bottom w:w="95" w:type="dxa"/>
              <w:end w:w="120" w:type="dxa"/>
            </w:tcMar>
          </w:tcPr>
          <w:p>
            <w:pPr>
              <w:spacing w:before="0" w:after="0" w:line="264" w:lineRule="auto"/>
            </w:pPr>
            <w:r/>
            <w:r>
              <w:rPr>
                <w:rFonts w:ascii="Calibri" w:hAnsi="Calibri" w:eastAsia="Microsoft YaHei"/>
                <w:b w:val="0"/>
                <w:i w:val="0"/>
                <w:color w:val="0F172A"/>
                <w:sz w:val="17"/>
              </w:rPr>
              <w:t>我们采用 4 倍过采样、去重、有效性过滤、Oracle 评分和 top 25% 高奖励筛选，再结合可合成性、低复杂度排除和序列多样性，最终选出 7 条代表性候选进入湿实验，而不是只依赖一次小样本生成。</w:t>
            </w:r>
          </w:p>
        </w:tc>
      </w:tr>
      <w:tr>
        <w:trPr>
          <w:cantSplit/>
        </w:trPr>
        <w:tc>
          <w:tcPr>
            <w:tcW w:type="dxa" w:w="2100"/>
            <w:vAlign w:val="center"/>
            <w:tcMar>
              <w:top w:w="95" w:type="dxa"/>
              <w:start w:w="120" w:type="dxa"/>
              <w:bottom w:w="95" w:type="dxa"/>
              <w:end w:w="120" w:type="dxa"/>
            </w:tcMar>
            <w:shd w:fill="F6F8FB"/>
          </w:tcPr>
          <w:p>
            <w:pPr>
              <w:spacing w:before="0" w:after="0" w:line="264" w:lineRule="auto"/>
            </w:pPr>
            <w:r/>
            <w:r>
              <w:rPr>
                <w:rFonts w:ascii="Calibri" w:hAnsi="Calibri" w:eastAsia="Microsoft YaHei"/>
                <w:b w:val="0"/>
                <w:i w:val="0"/>
                <w:color w:val="0F172A"/>
                <w:sz w:val="17"/>
              </w:rPr>
              <w:t>不能只看模型分数</w:t>
            </w:r>
          </w:p>
        </w:tc>
        <w:tc>
          <w:tcPr>
            <w:tcW w:type="dxa" w:w="3150"/>
            <w:vAlign w:val="center"/>
            <w:tcMar>
              <w:top w:w="95" w:type="dxa"/>
              <w:start w:w="120" w:type="dxa"/>
              <w:bottom w:w="95" w:type="dxa"/>
              <w:end w:w="120" w:type="dxa"/>
            </w:tcMar>
            <w:shd w:fill="F6F8FB"/>
          </w:tcPr>
          <w:p>
            <w:pPr>
              <w:spacing w:before="0" w:after="0" w:line="264" w:lineRule="auto"/>
            </w:pPr>
            <w:r/>
            <w:r>
              <w:rPr>
                <w:rFonts w:ascii="Calibri" w:hAnsi="Calibri" w:eastAsia="Microsoft YaHei"/>
                <w:b w:val="0"/>
                <w:i w:val="0"/>
                <w:color w:val="0F172A"/>
                <w:sz w:val="17"/>
              </w:rPr>
              <w:t>生成序列需要被生物物理性质和机制证据约束，否则很难说明为什么值得合成。</w:t>
            </w:r>
          </w:p>
        </w:tc>
        <w:tc>
          <w:tcPr>
            <w:tcW w:type="dxa" w:w="4110"/>
            <w:vAlign w:val="center"/>
            <w:tcMar>
              <w:top w:w="95" w:type="dxa"/>
              <w:start w:w="120" w:type="dxa"/>
              <w:bottom w:w="95" w:type="dxa"/>
              <w:end w:w="120" w:type="dxa"/>
            </w:tcMar>
            <w:shd w:fill="F6F8FB"/>
          </w:tcPr>
          <w:p>
            <w:pPr>
              <w:spacing w:before="0" w:after="0" w:line="264" w:lineRule="auto"/>
            </w:pPr>
            <w:r/>
            <w:r>
              <w:rPr>
                <w:rFonts w:ascii="Calibri" w:hAnsi="Calibri" w:eastAsia="Microsoft YaHei"/>
                <w:b w:val="0"/>
                <w:i w:val="0"/>
                <w:color w:val="0F172A"/>
                <w:sz w:val="17"/>
              </w:rPr>
              <w:t>候选筛选同时考虑净电荷、疏水性、疏水矩、两亲性、分子量、理论等电点、不稳定指数、GRAVY 和结构多样性。综合评分写作 R = 0.5*S_MIC + 0.3*(1-P_tox) + 0.2*P_AMP。</w:t>
            </w:r>
          </w:p>
        </w:tc>
      </w:tr>
      <w:tr>
        <w:trPr>
          <w:cantSplit/>
        </w:trPr>
        <w:tc>
          <w:tcPr>
            <w:tcW w:type="dxa" w:w="2100"/>
            <w:vAlign w:val="center"/>
            <w:tcMar>
              <w:top w:w="95" w:type="dxa"/>
              <w:start w:w="120" w:type="dxa"/>
              <w:bottom w:w="95" w:type="dxa"/>
              <w:end w:w="120" w:type="dxa"/>
            </w:tcMar>
          </w:tcPr>
          <w:p>
            <w:pPr>
              <w:spacing w:before="0" w:after="0" w:line="264" w:lineRule="auto"/>
            </w:pPr>
            <w:r/>
            <w:r>
              <w:rPr>
                <w:rFonts w:ascii="Calibri" w:hAnsi="Calibri" w:eastAsia="Microsoft YaHei"/>
                <w:b w:val="0"/>
                <w:i w:val="0"/>
                <w:color w:val="0F172A"/>
                <w:sz w:val="17"/>
              </w:rPr>
              <w:t>需要结构与膜相互作用证据</w:t>
            </w:r>
          </w:p>
        </w:tc>
        <w:tc>
          <w:tcPr>
            <w:tcW w:type="dxa" w:w="3150"/>
            <w:vAlign w:val="center"/>
            <w:tcMar>
              <w:top w:w="95" w:type="dxa"/>
              <w:start w:w="120" w:type="dxa"/>
              <w:bottom w:w="95" w:type="dxa"/>
              <w:end w:w="120" w:type="dxa"/>
            </w:tcMar>
          </w:tcPr>
          <w:p>
            <w:pPr>
              <w:spacing w:before="0" w:after="0" w:line="264" w:lineRule="auto"/>
            </w:pPr>
            <w:r/>
            <w:r>
              <w:rPr>
                <w:rFonts w:ascii="Calibri" w:hAnsi="Calibri" w:eastAsia="Microsoft YaHei"/>
                <w:b w:val="0"/>
                <w:i w:val="0"/>
                <w:color w:val="0F172A"/>
                <w:sz w:val="17"/>
              </w:rPr>
              <w:t>赵老师建议利用结构预测与膜结合关系辅助判断候选是否合理。</w:t>
            </w:r>
          </w:p>
        </w:tc>
        <w:tc>
          <w:tcPr>
            <w:tcW w:type="dxa" w:w="4110"/>
            <w:vAlign w:val="center"/>
            <w:tcMar>
              <w:top w:w="95" w:type="dxa"/>
              <w:start w:w="120" w:type="dxa"/>
              <w:bottom w:w="95" w:type="dxa"/>
              <w:end w:w="120" w:type="dxa"/>
            </w:tcMar>
          </w:tcPr>
          <w:p>
            <w:pPr>
              <w:spacing w:before="0" w:after="0" w:line="264" w:lineRule="auto"/>
            </w:pPr>
            <w:r/>
            <w:r>
              <w:rPr>
                <w:rFonts w:ascii="Calibri" w:hAnsi="Calibri" w:eastAsia="Microsoft YaHei"/>
                <w:b w:val="0"/>
                <w:i w:val="0"/>
                <w:color w:val="0F172A"/>
                <w:sz w:val="17"/>
              </w:rPr>
              <w:t>我们将这一建议落实为 200 ns 全原子分子动力学模拟：GROMACS 2024.5，CHARMM36m，TIP3P，POPC/POPG = 254/84，310 K，1 bar，PME 静电处理。分析 RMSD、RMSF、肽-膜距离、插入深度、氢键和膜扰动。</w:t>
            </w:r>
          </w:p>
        </w:tc>
      </w:tr>
      <w:tr>
        <w:trPr>
          <w:cantSplit/>
        </w:trPr>
        <w:tc>
          <w:tcPr>
            <w:tcW w:type="dxa" w:w="2100"/>
            <w:vAlign w:val="center"/>
            <w:tcMar>
              <w:top w:w="95" w:type="dxa"/>
              <w:start w:w="120" w:type="dxa"/>
              <w:bottom w:w="95" w:type="dxa"/>
              <w:end w:w="120" w:type="dxa"/>
            </w:tcMar>
            <w:shd w:fill="F6F8FB"/>
          </w:tcPr>
          <w:p>
            <w:pPr>
              <w:spacing w:before="0" w:after="0" w:line="264" w:lineRule="auto"/>
            </w:pPr>
            <w:r/>
            <w:r>
              <w:rPr>
                <w:rFonts w:ascii="Calibri" w:hAnsi="Calibri" w:eastAsia="Microsoft YaHei"/>
                <w:b w:val="0"/>
                <w:i w:val="0"/>
                <w:color w:val="0F172A"/>
                <w:sz w:val="17"/>
              </w:rPr>
              <w:t>必须用湿实验验证模型风险</w:t>
            </w:r>
          </w:p>
        </w:tc>
        <w:tc>
          <w:tcPr>
            <w:tcW w:type="dxa" w:w="3150"/>
            <w:vAlign w:val="center"/>
            <w:tcMar>
              <w:top w:w="95" w:type="dxa"/>
              <w:start w:w="120" w:type="dxa"/>
              <w:bottom w:w="95" w:type="dxa"/>
              <w:end w:w="120" w:type="dxa"/>
            </w:tcMar>
            <w:shd w:fill="F6F8FB"/>
          </w:tcPr>
          <w:p>
            <w:pPr>
              <w:spacing w:before="0" w:after="0" w:line="264" w:lineRule="auto"/>
            </w:pPr>
            <w:r/>
            <w:r>
              <w:rPr>
                <w:rFonts w:ascii="Calibri" w:hAnsi="Calibri" w:eastAsia="Microsoft YaHei"/>
                <w:b w:val="0"/>
                <w:i w:val="0"/>
                <w:color w:val="0F172A"/>
                <w:sz w:val="17"/>
              </w:rPr>
              <w:t>老师提醒，真正得到稳定有效的序列很难，必须用生物学实验检验。</w:t>
            </w:r>
          </w:p>
        </w:tc>
        <w:tc>
          <w:tcPr>
            <w:tcW w:type="dxa" w:w="4110"/>
            <w:vAlign w:val="center"/>
            <w:tcMar>
              <w:top w:w="95" w:type="dxa"/>
              <w:start w:w="120" w:type="dxa"/>
              <w:bottom w:w="95" w:type="dxa"/>
              <w:end w:w="120" w:type="dxa"/>
            </w:tcMar>
            <w:shd w:fill="F6F8FB"/>
          </w:tcPr>
          <w:p>
            <w:pPr>
              <w:spacing w:before="0" w:after="0" w:line="264" w:lineRule="auto"/>
            </w:pPr>
            <w:r/>
            <w:r>
              <w:rPr>
                <w:rFonts w:ascii="Calibri" w:hAnsi="Calibri" w:eastAsia="Microsoft YaHei"/>
                <w:b w:val="0"/>
                <w:i w:val="0"/>
                <w:color w:val="0F172A"/>
                <w:sz w:val="17"/>
              </w:rPr>
              <w:t>我们完成外包合成并获得质谱证明；用 MIC 评价抗菌活性，设置氨苄青霉素阳性对照，并与 Nisin 作抗菌肽对比；用绵羊红细胞溶血和 HaCaT CCK-8 评价安全窗口；用 TEM 观察 SC4、SC6 处理后的细菌膜损伤。</w:t>
            </w:r>
          </w:p>
        </w:tc>
      </w:tr>
    </w:tbl>
    <w:p>
      <w:pPr>
        <w:pStyle w:val="1"/>
        <w:keepNext/>
        <w:spacing w:before="260" w:after="100" w:line="264" w:lineRule="auto"/>
      </w:pPr>
      <w:r>
        <w:rPr>
          <w:rFonts w:ascii="Calibri" w:hAnsi="Calibri" w:eastAsia="Microsoft YaHei"/>
          <w:b/>
          <w:i w:val="0"/>
          <w:color w:val="0F172A"/>
          <w:sz w:val="32"/>
        </w:rPr>
        <w:t>从老师的质询到 TAM-Flow 模型</w:t>
      </w:r>
    </w:p>
    <w:p>
      <w:pPr>
        <w:spacing w:before="0" w:after="120" w:line="274" w:lineRule="auto"/>
      </w:pPr>
      <w:r>
        <w:rPr>
          <w:rFonts w:ascii="Calibri" w:hAnsi="Calibri" w:eastAsia="Microsoft YaHei"/>
          <w:b w:val="0"/>
          <w:i w:val="0"/>
          <w:color w:val="0F172A"/>
          <w:sz w:val="21"/>
        </w:rPr>
        <w:t>赵老师所说的“判别器”，在 AMPlify 当前版本中被具体化为 Oracle 专家模型和奖励过滤模块。模型输入不再只是一个随机起点，而包含目标长度、目标活性、目标毒性和结构类型等条件；模型输出也不直接被视为最终答案，而要经过 AMP-like 概率、MIC 活性预测、毒性预测、规则过滤和多样性筛选。</w:t>
      </w:r>
    </w:p>
    <w:p>
      <w:pPr>
        <w:pStyle w:val="a0"/>
        <w:spacing w:before="0" w:after="60" w:line="269" w:lineRule="auto"/>
      </w:pPr>
      <w:r>
        <w:rPr>
          <w:rFonts w:ascii="Calibri" w:hAnsi="Calibri" w:eastAsia="Microsoft YaHei"/>
          <w:b w:val="0"/>
          <w:i w:val="0"/>
          <w:color w:val="0F172A"/>
          <w:sz w:val="20"/>
        </w:rPr>
        <w:t>数据层：整合 APD/APD6、DRAMP、DBAASP、GRAMPA、StarPep、HemoPI、ToxinPred、Hemolytik2 和 UniProt 短肽数据，并去除非标准氨基酸、修饰残基、异常长度和低质量序列。</w:t>
      </w:r>
    </w:p>
    <w:p>
      <w:pPr>
        <w:pStyle w:val="a0"/>
        <w:spacing w:before="0" w:after="60" w:line="269" w:lineRule="auto"/>
      </w:pPr>
      <w:r>
        <w:rPr>
          <w:rFonts w:ascii="Calibri" w:hAnsi="Calibri" w:eastAsia="Microsoft YaHei"/>
          <w:b w:val="0"/>
          <w:i w:val="0"/>
          <w:color w:val="0F172A"/>
          <w:sz w:val="20"/>
        </w:rPr>
        <w:t>生成层：使用 ESM-2 将肽序列编码到 512 维 latent space，再由 DiT-Rectified Flow 生成候选 latent，最后解码为氨基酸序列。</w:t>
      </w:r>
    </w:p>
    <w:p>
      <w:pPr>
        <w:pStyle w:val="a0"/>
        <w:spacing w:before="0" w:after="60" w:line="269" w:lineRule="auto"/>
      </w:pPr>
      <w:r>
        <w:rPr>
          <w:rFonts w:ascii="Calibri" w:hAnsi="Calibri" w:eastAsia="Microsoft YaHei"/>
          <w:b w:val="0"/>
          <w:i w:val="0"/>
          <w:color w:val="0F172A"/>
          <w:sz w:val="20"/>
        </w:rPr>
        <w:t>判别层：Oracle 同时评估预测 MIC、毒性风险和 AMP-like 概率；RAFT 从有效序列中优先保留高奖励样本，避免只看生成数量。</w:t>
      </w:r>
    </w:p>
    <w:p>
      <w:pPr>
        <w:pStyle w:val="a0"/>
        <w:spacing w:before="0" w:after="60" w:line="269" w:lineRule="auto"/>
      </w:pPr>
      <w:r>
        <w:rPr>
          <w:rFonts w:ascii="Calibri" w:hAnsi="Calibri" w:eastAsia="Microsoft YaHei"/>
          <w:b w:val="0"/>
          <w:i w:val="0"/>
          <w:color w:val="0F172A"/>
          <w:sz w:val="20"/>
        </w:rPr>
        <w:t>筛选层：结合净电荷、疏水性、疏水矩、两亲性、可合成性和序列多样性，排除低复杂度和高风险候选。</w:t>
      </w:r>
    </w:p>
    <w:p>
      <w:pPr>
        <w:pStyle w:val="a0"/>
        <w:spacing w:before="0" w:after="60" w:line="269" w:lineRule="auto"/>
      </w:pPr>
      <w:r>
        <w:rPr>
          <w:rFonts w:ascii="Calibri" w:hAnsi="Calibri" w:eastAsia="Microsoft YaHei"/>
          <w:b w:val="0"/>
          <w:i w:val="0"/>
          <w:color w:val="0F172A"/>
          <w:sz w:val="20"/>
        </w:rPr>
        <w:t>验证层：通过 200 ns MD 观察肽-膜相互作用，再用 MIC、溶血、CCK-8 和 TEM 将模型判断转化为实验证据。</w:t>
      </w:r>
    </w:p>
    <w:p>
      <w:pPr>
        <w:spacing w:before="0" w:after="120" w:line="274" w:lineRule="auto"/>
      </w:pPr>
      <w:r>
        <w:rPr>
          <w:rFonts w:ascii="Calibri" w:hAnsi="Calibri" w:eastAsia="Microsoft YaHei"/>
          <w:b w:val="0"/>
          <w:i w:val="0"/>
          <w:color w:val="0F172A"/>
          <w:sz w:val="21"/>
        </w:rPr>
        <w:t>换句话说，赵老师早期指出的“生成器必须被判别器约束”，已经成为 AMPlify 当前干实验的核心原则：我们不是让模型给出一个不可解释的序列名单，而是让候选肽经过可追踪的生成、评分、过滤、机制分析和实验验证。</w:t>
      </w:r>
    </w:p>
    <w:p>
      <w:pPr>
        <w:pStyle w:val="1"/>
        <w:keepNext/>
        <w:spacing w:before="260" w:after="100" w:line="264" w:lineRule="auto"/>
      </w:pPr>
      <w:r>
        <w:rPr>
          <w:rFonts w:ascii="Calibri" w:hAnsi="Calibri" w:eastAsia="Microsoft YaHei"/>
          <w:b/>
          <w:i w:val="0"/>
          <w:color w:val="0F172A"/>
          <w:sz w:val="32"/>
        </w:rPr>
        <w:t>湿实验如何回应早期风险？</w:t>
      </w:r>
    </w:p>
    <w:p>
      <w:pPr>
        <w:spacing w:before="0" w:after="120" w:line="274" w:lineRule="auto"/>
      </w:pPr>
      <w:r>
        <w:rPr>
          <w:rFonts w:ascii="Calibri" w:hAnsi="Calibri" w:eastAsia="Microsoft YaHei"/>
          <w:b w:val="0"/>
          <w:i w:val="0"/>
          <w:color w:val="0F172A"/>
          <w:sz w:val="21"/>
        </w:rPr>
        <w:t>老师当时最担心的是：即使模型能生成序列，少量合成也可能全部无效。我们后来没有把湿实验写成模型之外的附加证明，而是把它作为回应这一风险的关键部分。</w:t>
      </w:r>
    </w:p>
    <w:p>
      <w:pPr>
        <w:pStyle w:val="a0"/>
        <w:spacing w:before="0" w:after="60" w:line="269" w:lineRule="auto"/>
      </w:pPr>
      <w:r>
        <w:rPr>
          <w:rFonts w:ascii="Calibri" w:hAnsi="Calibri" w:eastAsia="Microsoft YaHei"/>
          <w:b w:val="0"/>
          <w:i w:val="0"/>
          <w:color w:val="0F172A"/>
          <w:sz w:val="20"/>
        </w:rPr>
        <w:t>合成可信度：候选肽由第三方外包合成，并通过质谱确认。</w:t>
      </w:r>
    </w:p>
    <w:p>
      <w:pPr>
        <w:pStyle w:val="a0"/>
        <w:spacing w:before="0" w:after="60" w:line="269" w:lineRule="auto"/>
      </w:pPr>
      <w:r>
        <w:rPr>
          <w:rFonts w:ascii="Calibri" w:hAnsi="Calibri" w:eastAsia="Microsoft YaHei"/>
          <w:b w:val="0"/>
          <w:i w:val="0"/>
          <w:color w:val="0F172A"/>
          <w:sz w:val="20"/>
        </w:rPr>
        <w:t>抗菌活性：MIC 实验进行 3 次重复，设置氨苄青霉素为阳性对照，并加入 Nisin 作为已有抗菌肽对比对象。</w:t>
      </w:r>
    </w:p>
    <w:p>
      <w:pPr>
        <w:pStyle w:val="a0"/>
        <w:spacing w:before="0" w:after="60" w:line="269" w:lineRule="auto"/>
      </w:pPr>
      <w:r>
        <w:rPr>
          <w:rFonts w:ascii="Calibri" w:hAnsi="Calibri" w:eastAsia="Microsoft YaHei"/>
          <w:b w:val="0"/>
          <w:i w:val="0"/>
          <w:color w:val="0F172A"/>
          <w:sz w:val="20"/>
        </w:rPr>
        <w:t>安全窗口：用绵羊红细胞评价溶血率，用 HaCaT 细胞 CCK-8 评价细胞毒性，避免只关注杀菌效果。</w:t>
      </w:r>
    </w:p>
    <w:p>
      <w:pPr>
        <w:pStyle w:val="a0"/>
        <w:spacing w:before="0" w:after="60" w:line="269" w:lineRule="auto"/>
      </w:pPr>
      <w:r>
        <w:rPr>
          <w:rFonts w:ascii="Calibri" w:hAnsi="Calibri" w:eastAsia="Microsoft YaHei"/>
          <w:b w:val="0"/>
          <w:i w:val="0"/>
          <w:color w:val="0F172A"/>
          <w:sz w:val="20"/>
        </w:rPr>
        <w:t>机制证据：TEM 结果显示 SC4、SC6 处理后细菌膜结构出现明显损伤，与 MD 中的膜吸附、插入和扰动逻辑相互支持。</w:t>
      </w:r>
    </w:p>
    <w:p>
      <w:pPr>
        <w:spacing w:before="0" w:after="120" w:line="274" w:lineRule="auto"/>
      </w:pPr>
      <w:r>
        <w:rPr>
          <w:rFonts w:ascii="Calibri" w:hAnsi="Calibri" w:eastAsia="Microsoft YaHei"/>
          <w:b w:val="0"/>
          <w:i w:val="0"/>
          <w:color w:val="0F172A"/>
          <w:sz w:val="21"/>
        </w:rPr>
        <w:t>这些实验结果并不意味着候选肽已经可以直接成为药物，但它们回应了赵老师提出的核心质疑：当前 AMPlify 已不再只是“预测上好看”，而是能用实验数据筛掉无效候选，并把活性、安全性和机制证据放在同一条证据链中。</w:t>
      </w:r>
    </w:p>
    <w:p>
      <w:pPr>
        <w:pStyle w:val="1"/>
        <w:keepNext/>
        <w:spacing w:before="260" w:after="100" w:line="264" w:lineRule="auto"/>
      </w:pPr>
      <w:r>
        <w:rPr>
          <w:rFonts w:ascii="Calibri" w:hAnsi="Calibri" w:eastAsia="Microsoft YaHei"/>
          <w:b/>
          <w:i w:val="0"/>
          <w:color w:val="0F172A"/>
          <w:sz w:val="32"/>
        </w:rPr>
        <w:t>本轮 HP 技术小循环（DBTL）</w:t>
      </w:r>
    </w:p>
    <w:tbl>
      <w:tblPr>
        <w:tblW w:type="dxa" w:w="9360"/>
        <w:tblLayout w:type="fixed"/>
        <w:tblLook w:firstColumn="1" w:firstRow="1" w:lastColumn="0" w:lastRow="0" w:noHBand="0" w:noVBand="1" w:val="04A0"/>
        <w:tblInd w:w="120" w:type="dxa"/>
        <w:tblBorders>
          <w:top w:val="single" w:sz="6" w:space="0" w:color="D7DCE5"/>
          <w:left w:val="single" w:sz="6" w:space="0" w:color="D7DCE5"/>
          <w:bottom w:val="single" w:sz="6" w:space="0" w:color="D7DCE5"/>
          <w:right w:val="single" w:sz="6" w:space="0" w:color="D7DCE5"/>
          <w:insideH w:val="single" w:sz="6" w:space="0" w:color="D7DCE5"/>
          <w:insideV w:val="single" w:sz="6" w:space="0" w:color="D7DCE5"/>
        </w:tblBorders>
      </w:tblPr>
      <w:tblGrid>
        <w:gridCol w:w="1600"/>
        <w:gridCol w:w="7760"/>
      </w:tblGrid>
      <w:tr>
        <w:trPr>
          <w:tblHeader w:val="true"/>
        </w:trPr>
        <w:tc>
          <w:tcPr>
            <w:tcW w:type="dxa" w:w="1600"/>
            <w:vAlign w:val="center"/>
            <w:tcMar>
              <w:top w:w="95" w:type="dxa"/>
              <w:start w:w="120" w:type="dxa"/>
              <w:bottom w:w="95" w:type="dxa"/>
              <w:end w:w="120" w:type="dxa"/>
            </w:tcMar>
            <w:shd w:fill="EAF2FF"/>
          </w:tcPr>
          <w:p>
            <w:pPr>
              <w:spacing w:before="0" w:after="0" w:line="264" w:lineRule="auto"/>
            </w:pPr>
            <w:r/>
            <w:r>
              <w:rPr>
                <w:rFonts w:ascii="Calibri" w:hAnsi="Calibri" w:eastAsia="Microsoft YaHei"/>
                <w:b/>
                <w:i w:val="0"/>
                <w:color w:val="1E40AF"/>
                <w:sz w:val="18"/>
              </w:rPr>
              <w:t>阶段</w:t>
            </w:r>
          </w:p>
        </w:tc>
        <w:tc>
          <w:tcPr>
            <w:tcW w:type="dxa" w:w="7760"/>
            <w:vAlign w:val="center"/>
            <w:tcMar>
              <w:top w:w="95" w:type="dxa"/>
              <w:start w:w="120" w:type="dxa"/>
              <w:bottom w:w="95" w:type="dxa"/>
              <w:end w:w="120" w:type="dxa"/>
            </w:tcMar>
            <w:shd w:fill="EAF2FF"/>
          </w:tcPr>
          <w:p>
            <w:pPr>
              <w:spacing w:before="0" w:after="0" w:line="264" w:lineRule="auto"/>
            </w:pPr>
            <w:r/>
            <w:r>
              <w:rPr>
                <w:rFonts w:ascii="Calibri" w:hAnsi="Calibri" w:eastAsia="Microsoft YaHei"/>
                <w:b/>
                <w:i w:val="0"/>
                <w:color w:val="1E40AF"/>
                <w:sz w:val="18"/>
              </w:rPr>
              <w:t>本轮技术小循环</w:t>
            </w:r>
          </w:p>
        </w:tc>
      </w:tr>
      <w:tr>
        <w:trPr>
          <w:cantSplit/>
        </w:trPr>
        <w:tc>
          <w:tcPr>
            <w:tcW w:type="dxa" w:w="1600"/>
            <w:vAlign w:val="center"/>
            <w:tcMar>
              <w:top w:w="95" w:type="dxa"/>
              <w:start w:w="120" w:type="dxa"/>
              <w:bottom w:w="95" w:type="dxa"/>
              <w:end w:w="120" w:type="dxa"/>
            </w:tcMar>
          </w:tcPr>
          <w:p>
            <w:pPr>
              <w:spacing w:before="0" w:after="0" w:line="264" w:lineRule="auto"/>
            </w:pPr>
            <w:r/>
            <w:r>
              <w:rPr>
                <w:rFonts w:ascii="Calibri" w:hAnsi="Calibri" w:eastAsia="Microsoft YaHei"/>
                <w:b/>
                <w:i w:val="0"/>
                <w:color w:val="0F172A"/>
                <w:sz w:val="18"/>
              </w:rPr>
              <w:t>Design</w:t>
            </w:r>
          </w:p>
        </w:tc>
        <w:tc>
          <w:tcPr>
            <w:tcW w:type="dxa" w:w="7760"/>
            <w:vAlign w:val="center"/>
            <w:tcMar>
              <w:top w:w="95" w:type="dxa"/>
              <w:start w:w="120" w:type="dxa"/>
              <w:bottom w:w="95" w:type="dxa"/>
              <w:end w:w="120" w:type="dxa"/>
            </w:tcMar>
          </w:tcPr>
          <w:p>
            <w:pPr>
              <w:spacing w:before="0" w:after="0" w:line="264" w:lineRule="auto"/>
            </w:pPr>
            <w:r/>
            <w:r>
              <w:rPr>
                <w:rFonts w:ascii="Calibri" w:hAnsi="Calibri" w:eastAsia="Microsoft YaHei"/>
                <w:b w:val="0"/>
                <w:i w:val="0"/>
                <w:color w:val="0F172A"/>
                <w:sz w:val="17"/>
              </w:rPr>
              <w:t>早期目标是用 AI 生成新型抗菌肽，但赵老师的反馈让设计问题变成：如何让生成序列具备抗菌靶向性，并能被低成本、可解释地筛选出来？</w:t>
            </w:r>
          </w:p>
        </w:tc>
      </w:tr>
      <w:tr>
        <w:trPr>
          <w:cantSplit/>
        </w:trPr>
        <w:tc>
          <w:tcPr>
            <w:tcW w:type="dxa" w:w="1600"/>
            <w:vAlign w:val="center"/>
            <w:tcMar>
              <w:top w:w="95" w:type="dxa"/>
              <w:start w:w="120" w:type="dxa"/>
              <w:bottom w:w="95" w:type="dxa"/>
              <w:end w:w="120" w:type="dxa"/>
            </w:tcMar>
            <w:shd w:fill="F6F8FB"/>
          </w:tcPr>
          <w:p>
            <w:pPr>
              <w:spacing w:before="0" w:after="0" w:line="264" w:lineRule="auto"/>
            </w:pPr>
            <w:r/>
            <w:r>
              <w:rPr>
                <w:rFonts w:ascii="Calibri" w:hAnsi="Calibri" w:eastAsia="Microsoft YaHei"/>
                <w:b/>
                <w:i w:val="0"/>
                <w:color w:val="0F172A"/>
                <w:sz w:val="18"/>
              </w:rPr>
              <w:t>Build</w:t>
            </w:r>
          </w:p>
        </w:tc>
        <w:tc>
          <w:tcPr>
            <w:tcW w:type="dxa" w:w="7760"/>
            <w:vAlign w:val="center"/>
            <w:tcMar>
              <w:top w:w="95" w:type="dxa"/>
              <w:start w:w="120" w:type="dxa"/>
              <w:bottom w:w="95" w:type="dxa"/>
              <w:end w:w="120" w:type="dxa"/>
            </w:tcMar>
            <w:shd w:fill="F6F8FB"/>
          </w:tcPr>
          <w:p>
            <w:pPr>
              <w:spacing w:before="0" w:after="0" w:line="264" w:lineRule="auto"/>
            </w:pPr>
            <w:r/>
            <w:r>
              <w:rPr>
                <w:rFonts w:ascii="Calibri" w:hAnsi="Calibri" w:eastAsia="Microsoft YaHei"/>
                <w:b w:val="0"/>
                <w:i w:val="0"/>
                <w:color w:val="0F172A"/>
                <w:sz w:val="17"/>
              </w:rPr>
              <w:t>构建 TAM-Flow：ESM-2 + LoRA 编码器、DiT-Rectified Flow 生成器、Oracle 专家模型和 RAFT 奖励过滤；同时建立数据清洗、理化性质筛选和候选多样性约束。</w:t>
            </w:r>
          </w:p>
        </w:tc>
      </w:tr>
      <w:tr>
        <w:trPr>
          <w:cantSplit/>
        </w:trPr>
        <w:tc>
          <w:tcPr>
            <w:tcW w:type="dxa" w:w="1600"/>
            <w:vAlign w:val="center"/>
            <w:tcMar>
              <w:top w:w="95" w:type="dxa"/>
              <w:start w:w="120" w:type="dxa"/>
              <w:bottom w:w="95" w:type="dxa"/>
              <w:end w:w="120" w:type="dxa"/>
            </w:tcMar>
          </w:tcPr>
          <w:p>
            <w:pPr>
              <w:spacing w:before="0" w:after="0" w:line="264" w:lineRule="auto"/>
            </w:pPr>
            <w:r/>
            <w:r>
              <w:rPr>
                <w:rFonts w:ascii="Calibri" w:hAnsi="Calibri" w:eastAsia="Microsoft YaHei"/>
                <w:b/>
                <w:i w:val="0"/>
                <w:color w:val="0F172A"/>
                <w:sz w:val="18"/>
              </w:rPr>
              <w:t>Test</w:t>
            </w:r>
          </w:p>
        </w:tc>
        <w:tc>
          <w:tcPr>
            <w:tcW w:type="dxa" w:w="7760"/>
            <w:vAlign w:val="center"/>
            <w:tcMar>
              <w:top w:w="95" w:type="dxa"/>
              <w:start w:w="120" w:type="dxa"/>
              <w:bottom w:w="95" w:type="dxa"/>
              <w:end w:w="120" w:type="dxa"/>
            </w:tcMar>
          </w:tcPr>
          <w:p>
            <w:pPr>
              <w:spacing w:before="0" w:after="0" w:line="264" w:lineRule="auto"/>
            </w:pPr>
            <w:r/>
            <w:r>
              <w:rPr>
                <w:rFonts w:ascii="Calibri" w:hAnsi="Calibri" w:eastAsia="Microsoft YaHei"/>
                <w:b w:val="0"/>
                <w:i w:val="0"/>
                <w:color w:val="0F172A"/>
                <w:sz w:val="17"/>
              </w:rPr>
              <w:t>用 Oracle、规则过滤、理化性质分析和 200 ns MD 做干实验筛选；用合成质谱、MIC、溶血、CCK-8 和 TEM 做湿实验验证，比较氨苄青霉素和 Nisin。</w:t>
            </w:r>
          </w:p>
        </w:tc>
      </w:tr>
      <w:tr>
        <w:trPr>
          <w:cantSplit/>
        </w:trPr>
        <w:tc>
          <w:tcPr>
            <w:tcW w:type="dxa" w:w="1600"/>
            <w:vAlign w:val="center"/>
            <w:tcMar>
              <w:top w:w="95" w:type="dxa"/>
              <w:start w:w="120" w:type="dxa"/>
              <w:bottom w:w="95" w:type="dxa"/>
              <w:end w:w="120" w:type="dxa"/>
            </w:tcMar>
            <w:shd w:fill="F6F8FB"/>
          </w:tcPr>
          <w:p>
            <w:pPr>
              <w:spacing w:before="0" w:after="0" w:line="264" w:lineRule="auto"/>
            </w:pPr>
            <w:r/>
            <w:r>
              <w:rPr>
                <w:rFonts w:ascii="Calibri" w:hAnsi="Calibri" w:eastAsia="Microsoft YaHei"/>
                <w:b/>
                <w:i w:val="0"/>
                <w:color w:val="0F172A"/>
                <w:sz w:val="18"/>
              </w:rPr>
              <w:t>Learn</w:t>
            </w:r>
          </w:p>
        </w:tc>
        <w:tc>
          <w:tcPr>
            <w:tcW w:type="dxa" w:w="7760"/>
            <w:vAlign w:val="center"/>
            <w:tcMar>
              <w:top w:w="95" w:type="dxa"/>
              <w:start w:w="120" w:type="dxa"/>
              <w:bottom w:w="95" w:type="dxa"/>
              <w:end w:w="120" w:type="dxa"/>
            </w:tcMar>
            <w:shd w:fill="F6F8FB"/>
          </w:tcPr>
          <w:p>
            <w:pPr>
              <w:spacing w:before="0" w:after="0" w:line="264" w:lineRule="auto"/>
            </w:pPr>
            <w:r/>
            <w:r>
              <w:rPr>
                <w:rFonts w:ascii="Calibri" w:hAnsi="Calibri" w:eastAsia="Microsoft YaHei"/>
                <w:b w:val="0"/>
                <w:i w:val="0"/>
                <w:color w:val="0F172A"/>
                <w:sz w:val="17"/>
              </w:rPr>
              <w:t>AMPlify 的主线从“AI 直接生成有效抗菌肽”调整为“AI 生成候选 - 多模型判别 - 机制解释 - 湿实验验证 - 证据分级报告”。这也解释了为什么当前模型必须同时展示活性、安全性、机制和未验证边界。</w:t>
            </w:r>
          </w:p>
        </w:tc>
      </w:tr>
    </w:tbl>
    <w:p>
      <w:pPr>
        <w:pStyle w:val="1"/>
        <w:keepNext/>
        <w:spacing w:before="260" w:after="100" w:line="264" w:lineRule="auto"/>
      </w:pPr>
      <w:r>
        <w:rPr>
          <w:rFonts w:ascii="Calibri" w:hAnsi="Calibri" w:eastAsia="Microsoft YaHei"/>
          <w:b/>
          <w:i w:val="0"/>
          <w:color w:val="0F172A"/>
          <w:sz w:val="32"/>
        </w:rPr>
        <w:t>这次访谈如何推进 AMPlify 的主线？</w:t>
      </w:r>
    </w:p>
    <w:p>
      <w:pPr>
        <w:spacing w:before="0" w:after="120" w:line="274" w:lineRule="auto"/>
      </w:pPr>
      <w:r>
        <w:rPr>
          <w:rFonts w:ascii="Calibri" w:hAnsi="Calibri" w:eastAsia="Microsoft YaHei"/>
          <w:b w:val="0"/>
          <w:i w:val="0"/>
          <w:color w:val="0F172A"/>
          <w:sz w:val="21"/>
        </w:rPr>
        <w:t>这轮 HP 的价值在于，它把项目从一个容易被质疑的 AI 生成故事，改造成一个更完整的“证据约束型候选肽开发流程”。后续我们在宠物医院、家畜生物学实验室、羊场、环境专家和其他利益相关者处讨论应用场景时，都可以回到这一基础：AMPlify 首先是一个模型和实验共同支撑的候选筛选框架，而不是未经验证的治疗承诺。</w:t>
      </w:r>
    </w:p>
    <w:p>
      <w:pPr>
        <w:pStyle w:val="a0"/>
        <w:spacing w:before="0" w:after="60" w:line="269" w:lineRule="auto"/>
      </w:pPr>
      <w:r>
        <w:rPr>
          <w:rFonts w:ascii="Calibri" w:hAnsi="Calibri" w:eastAsia="Microsoft YaHei"/>
          <w:b w:val="0"/>
          <w:i w:val="0"/>
          <w:color w:val="0F172A"/>
          <w:sz w:val="20"/>
        </w:rPr>
        <w:t>Model：从单一 ESM-2 生成叙事升级为 TAM-Flow + Oracle + RAFT 的多阶段生成与筛选框架。</w:t>
      </w:r>
    </w:p>
    <w:p>
      <w:pPr>
        <w:pStyle w:val="a0"/>
        <w:spacing w:before="0" w:after="60" w:line="269" w:lineRule="auto"/>
      </w:pPr>
      <w:r>
        <w:rPr>
          <w:rFonts w:ascii="Calibri" w:hAnsi="Calibri" w:eastAsia="Microsoft YaHei"/>
          <w:b w:val="0"/>
          <w:i w:val="0"/>
          <w:color w:val="0F172A"/>
          <w:sz w:val="20"/>
        </w:rPr>
        <w:t>Wet Lab：把 MIC、溶血、CCK-8、TEM 和合成质谱作为模型有效性的实证回应。</w:t>
      </w:r>
    </w:p>
    <w:p>
      <w:pPr>
        <w:pStyle w:val="a0"/>
        <w:spacing w:before="0" w:after="60" w:line="269" w:lineRule="auto"/>
      </w:pPr>
      <w:r>
        <w:rPr>
          <w:rFonts w:ascii="Calibri" w:hAnsi="Calibri" w:eastAsia="Microsoft YaHei"/>
          <w:b w:val="0"/>
          <w:i w:val="0"/>
          <w:color w:val="0F172A"/>
          <w:sz w:val="20"/>
        </w:rPr>
        <w:t>Software / Report：候选肽报告应区分 model inference、MD support、measured activity、safety data 和 future validation，避免把预测结果写成已验证事实。</w:t>
      </w:r>
    </w:p>
    <w:p>
      <w:pPr>
        <w:pStyle w:val="a0"/>
        <w:spacing w:before="0" w:after="60" w:line="269" w:lineRule="auto"/>
      </w:pPr>
      <w:r>
        <w:rPr>
          <w:rFonts w:ascii="Calibri" w:hAnsi="Calibri" w:eastAsia="Microsoft YaHei"/>
          <w:b w:val="0"/>
          <w:i w:val="0"/>
          <w:color w:val="0F172A"/>
          <w:sz w:val="20"/>
        </w:rPr>
        <w:t>Human Practices：在最终 Wiki 中，这次访谈适合放在早期“technical turning point”位置，承接最初 AI 生成想法，并引出当前模型和实验验证链。</w:t>
      </w:r>
    </w:p>
    <w:p>
      <w:pPr>
        <w:pStyle w:val="1"/>
        <w:keepNext/>
        <w:spacing w:before="260" w:after="100" w:line="264" w:lineRule="auto"/>
      </w:pPr>
      <w:r>
        <w:rPr>
          <w:rFonts w:ascii="Calibri" w:hAnsi="Calibri" w:eastAsia="Microsoft YaHei"/>
          <w:b/>
          <w:i w:val="0"/>
          <w:color w:val="0F172A"/>
          <w:sz w:val="32"/>
        </w:rPr>
        <w:t>仍需谨慎说明的边界</w:t>
      </w:r>
    </w:p>
    <w:p>
      <w:pPr>
        <w:spacing w:before="0" w:after="120" w:line="274" w:lineRule="auto"/>
      </w:pPr>
      <w:r>
        <w:rPr>
          <w:rFonts w:ascii="Calibri" w:hAnsi="Calibri" w:eastAsia="Microsoft YaHei"/>
          <w:b w:val="0"/>
          <w:i w:val="0"/>
          <w:color w:val="0F172A"/>
          <w:sz w:val="21"/>
        </w:rPr>
        <w:t>尽管赵老师提出的主要技术风险都已经在当前版本中形成了对应策略，我们仍应保持谨慎：体外活性不等于体内疗效，MD 和 TEM 是机制支持而不是临床证明，低溶血/低细胞毒性也不代表长期安全。AMPlify 当前最稳妥的公开定位，是 AI 辅助抗菌肽候选筛选与早期验证平台，而不是已经可直接应用的兽药或临床治疗方案。</w:t>
      </w:r>
    </w:p>
    <w:p>
      <w:pPr>
        <w:spacing w:before="0" w:after="120" w:line="274" w:lineRule="auto"/>
      </w:pPr>
      <w:r>
        <w:rPr>
          <w:rFonts w:ascii="Calibri" w:hAnsi="Calibri" w:eastAsia="Microsoft YaHei"/>
          <w:b w:val="0"/>
          <w:i w:val="0"/>
          <w:color w:val="0F172A"/>
          <w:sz w:val="21"/>
        </w:rPr>
        <w:t>下一步，如果要让这一循环更完整，可以把 TAM-Flow 候选报告 v2 返回给赵老师或其他生物信息学/生物大数据专家，请他们评价当前判别器、奖励函数、候选筛选和实验证据展示是否已经充分回应早期质询。</w:t>
      </w:r>
    </w:p>
    <w:sectPr w:rsidR="0047278C">
      <w:headerReference w:type="default" r:id="rId8"/>
      <w:footerReference w:type="default" r:id="rId9"/>
      <w:pgSz w:w="12240" w:h="15840"/>
      <w:pgMar w:top="1181" w:right="1181" w:bottom="1123" w:left="1181" w:header="173" w:footer="17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65A1E1" w14:textId="77777777" w:rsidR="007F6D19" w:rsidRDefault="007F6D19">
      <w:pPr>
        <w:spacing w:line="240" w:lineRule="auto"/>
      </w:pPr>
      <w:r>
        <w:separator/>
      </w:r>
    </w:p>
  </w:endnote>
  <w:endnote w:type="continuationSeparator" w:id="0">
    <w:p w14:paraId="075B8882" w14:textId="77777777" w:rsidR="007F6D19" w:rsidRDefault="007F6D1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苹方-简"/>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微软雅黑">
    <w:altName w:val="汉仪旗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default"/>
    <w:sig w:usb0="00000000" w:usb1="00000000" w:usb2="00000009" w:usb3="00000000" w:csb0="000001FF" w:csb1="00000000"/>
  </w:font>
  <w:font w:name="Arial Italic">
    <w:panose1 w:val="020B0604020202090204"/>
    <w:charset w:val="00"/>
    <w:family w:val="auto"/>
    <w:pitch w:val="default"/>
    <w:sig w:usb0="E0000AFF" w:usb1="00007843" w:usb2="00000001" w:usb3="00000000" w:csb0="400001BF" w:csb1="DFF70000"/>
  </w:font>
  <w:font w:name="Arial Bold Italic">
    <w:panose1 w:val="020B0704020202090204"/>
    <w:charset w:val="00"/>
    <w:family w:val="auto"/>
    <w:pitch w:val="default"/>
    <w:sig w:usb0="E0000AFF" w:usb1="00007843" w:usb2="00000001" w:usb3="00000000" w:csb0="400001BF" w:csb1="DFF7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E2543" w14:textId="77777777" w:rsidR="0047278C" w:rsidRDefault="00000000">
    <w:pPr>
      <w:spacing w:after="0"/>
      <w:jc w:val="center"/>
    </w:pPr>
    <w:r>
      <w:rPr>
        <w:noProof/>
      </w:rPr>
      <w:drawing>
        <wp:inline distT="0" distB="0" distL="114300" distR="114300" wp14:anchorId="37725F10" wp14:editId="39B5CB88">
          <wp:extent cx="1115060" cy="438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
                  <a:stretch>
                    <a:fillRect/>
                  </a:stretch>
                </pic:blipFill>
                <pic:spPr>
                  <a:xfrm>
                    <a:off x="0" y="0"/>
                    <a:ext cx="1115568" cy="438414"/>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3CD280" w14:textId="77777777" w:rsidR="007F6D19" w:rsidRDefault="007F6D19">
      <w:pPr>
        <w:spacing w:after="0"/>
      </w:pPr>
      <w:r>
        <w:separator/>
      </w:r>
    </w:p>
  </w:footnote>
  <w:footnote w:type="continuationSeparator" w:id="0">
    <w:p w14:paraId="4D33C23F" w14:textId="77777777" w:rsidR="007F6D19" w:rsidRDefault="007F6D1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838F5" w14:textId="12CD45F5" w:rsidR="0047278C" w:rsidRDefault="006147DC">
    <w:r>
      <w:rPr>
        <w:noProof/>
      </w:rPr>
      <w:drawing>
        <wp:anchor distT="0" distB="0" distL="114300" distR="114300" simplePos="0" relativeHeight="251657728" behindDoc="1" locked="0" layoutInCell="1" allowOverlap="1" wp14:anchorId="2F8FECE3" wp14:editId="38AE53B0">
          <wp:simplePos x="0" y="0"/>
          <wp:positionH relativeFrom="page">
            <wp:posOffset>0</wp:posOffset>
          </wp:positionH>
          <wp:positionV relativeFrom="page">
            <wp:posOffset>0</wp:posOffset>
          </wp:positionV>
          <wp:extent cx="7772400" cy="10058400"/>
          <wp:effectExtent l="0" t="0" r="0" b="0"/>
          <wp:wrapNone/>
          <wp:docPr id="502081988" name="mic_bg_protocol_body_b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c_bg_protocol_body_b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2400" cy="1005840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num w:numId="1" w16cid:durableId="597637386">
    <w:abstractNumId w:val="1"/>
  </w:num>
  <w:num w:numId="2" w16cid:durableId="936906577">
    <w:abstractNumId w:val="4"/>
  </w:num>
  <w:num w:numId="3" w16cid:durableId="153955764">
    <w:abstractNumId w:val="5"/>
  </w:num>
  <w:num w:numId="4" w16cid:durableId="1235356928">
    <w:abstractNumId w:val="2"/>
  </w:num>
  <w:num w:numId="5" w16cid:durableId="846141123">
    <w:abstractNumId w:val="0"/>
  </w:num>
  <w:num w:numId="6" w16cid:durableId="7256425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defaultTabStop w:val="720"/>
  <w:characterSpacingControl w:val="doNotCompress"/>
  <w:hdrShapeDefaults>
    <o:shapedefaults v:ext="edit" spidmax="1025"/>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B2A44"/>
    <w:rsid w:val="002827FA"/>
    <w:rsid w:val="0029639D"/>
    <w:rsid w:val="002F0666"/>
    <w:rsid w:val="00326F90"/>
    <w:rsid w:val="0047278C"/>
    <w:rsid w:val="006147DC"/>
    <w:rsid w:val="007F6D19"/>
    <w:rsid w:val="00AA1D8D"/>
    <w:rsid w:val="00B47730"/>
    <w:rsid w:val="00BF6AE5"/>
    <w:rsid w:val="00CB0664"/>
    <w:rsid w:val="00F522F0"/>
    <w:rsid w:val="00FC693F"/>
    <w:rsid w:val="9DD91385"/>
    <w:rsid w:val="DFFEA8A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14:docId w14:val="7F36F329"/>
  <w14:defaultImageDpi w14:val="300"/>
  <w15:docId w15:val="{8C59C8B0-95A4-4E88-BAB6-881BCE37B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120" w:line="274" w:lineRule="auto" w:before="0"/>
    </w:pPr>
    <w:rPr>
      <w:rFonts w:ascii="Calibri" w:eastAsia="Microsoft YaHei" w:hAnsi="Calibri"/>
      <w:b w:val="0"/>
      <w:color w:val="0F172A"/>
      <w:sz w:val="21"/>
      <w:szCs w:val="22"/>
      <w:lang w:eastAsia="en-US"/>
    </w:rPr>
  </w:style>
  <w:style w:type="paragraph" w:styleId="1">
    <w:name w:val="heading 1"/>
    <w:basedOn w:val="a1"/>
    <w:next w:val="a1"/>
    <w:link w:val="10"/>
    <w:uiPriority w:val="9"/>
    <w:qFormat/>
    <w:pPr>
      <w:keepNext/>
      <w:keepLines/>
      <w:spacing w:before="280" w:after="120" w:line="264" w:lineRule="auto"/>
      <w:outlineLvl w:val="0"/>
    </w:pPr>
    <w:rPr>
      <w:rFonts w:asciiTheme="majorHAnsi" w:eastAsiaTheme="majorEastAsia" w:hAnsiTheme="majorHAnsi" w:cstheme="majorBidi" w:ascii="Calibri" w:hAnsi="Calibri" w:eastAsia="Microsoft YaHei"/>
      <w:b/>
      <w:bCs/>
      <w:color w:val="0F172A"/>
      <w:sz w:val="32"/>
      <w:szCs w:val="28"/>
    </w:rPr>
  </w:style>
  <w:style w:type="paragraph" w:styleId="21">
    <w:name w:val="heading 2"/>
    <w:basedOn w:val="a1"/>
    <w:next w:val="a1"/>
    <w:link w:val="22"/>
    <w:uiPriority w:val="9"/>
    <w:unhideWhenUsed/>
    <w:qFormat/>
    <w:pPr>
      <w:keepNext/>
      <w:keepLines/>
      <w:spacing w:before="180" w:after="100" w:line="264" w:lineRule="auto"/>
      <w:outlineLvl w:val="1"/>
    </w:pPr>
    <w:rPr>
      <w:rFonts w:asciiTheme="majorHAnsi" w:eastAsiaTheme="majorEastAsia" w:hAnsiTheme="majorHAnsi" w:cstheme="majorBidi" w:ascii="Calibri" w:hAnsi="Calibri" w:eastAsia="Microsoft YaHei"/>
      <w:b/>
      <w:bCs/>
      <w:color w:val="2563EB"/>
      <w:sz w:val="26"/>
      <w:szCs w:val="26"/>
    </w:rPr>
  </w:style>
  <w:style w:type="paragraph" w:styleId="31">
    <w:name w:val="heading 3"/>
    <w:basedOn w:val="a1"/>
    <w:next w:val="a1"/>
    <w:link w:val="32"/>
    <w:uiPriority w:val="9"/>
    <w:unhideWhenUsed/>
    <w:qFormat/>
    <w:pPr>
      <w:keepNext/>
      <w:keepLines/>
      <w:spacing w:before="160" w:after="80" w:line="264" w:lineRule="auto"/>
      <w:outlineLvl w:val="2"/>
    </w:pPr>
    <w:rPr>
      <w:rFonts w:asciiTheme="majorHAnsi" w:eastAsiaTheme="majorEastAsia" w:hAnsiTheme="majorHAnsi" w:cstheme="majorBidi" w:ascii="Calibri" w:hAnsi="Calibri" w:eastAsia="Microsoft YaHei"/>
      <w:b/>
      <w:bCs/>
      <w:color w:val="1E40AF"/>
      <w:sz w:val="23"/>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paragraph" w:styleId="33">
    <w:name w:val="List 3"/>
    <w:basedOn w:val="a1"/>
    <w:uiPriority w:val="99"/>
    <w:unhideWhenUsed/>
    <w:pPr>
      <w:ind w:left="1080" w:hanging="360"/>
      <w:contextualSpacing/>
    </w:pPr>
  </w:style>
  <w:style w:type="paragraph" w:styleId="2">
    <w:name w:val="List Number 2"/>
    <w:basedOn w:val="a1"/>
    <w:uiPriority w:val="99"/>
    <w:unhideWhenUsed/>
    <w:pPr>
      <w:numPr>
        <w:numId w:val="1"/>
      </w:numPr>
      <w:contextualSpacing/>
    </w:pPr>
  </w:style>
  <w:style w:type="paragraph" w:styleId="a">
    <w:name w:val="List Number"/>
    <w:basedOn w:val="a1"/>
    <w:uiPriority w:val="99"/>
    <w:unhideWhenUsed/>
    <w:pPr>
      <w:numPr>
        <w:numId w:val="2"/>
      </w:numPr>
      <w:contextualSpacing/>
    </w:p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pPr>
      <w:numPr>
        <w:numId w:val="3"/>
      </w:numPr>
      <w:spacing w:before="0" w:after="60" w:line="269" w:lineRule="auto"/>
      <w:contextualSpacing/>
    </w:pPr>
    <w:rPr>
      <w:rFonts w:ascii="Calibri" w:hAnsi="Calibri" w:eastAsia="Microsoft YaHei"/>
      <w:b w:val="0"/>
      <w:color w:val="0F172A"/>
      <w:sz w:val="20"/>
    </w:rPr>
  </w:style>
  <w:style w:type="paragraph" w:styleId="34">
    <w:name w:val="Body Text 3"/>
    <w:basedOn w:val="a1"/>
    <w:link w:val="35"/>
    <w:uiPriority w:val="99"/>
    <w:unhideWhenUsed/>
    <w:pPr>
      <w:spacing w:after="120"/>
    </w:pPr>
    <w:rPr>
      <w:sz w:val="16"/>
      <w:szCs w:val="16"/>
    </w:rPr>
  </w:style>
  <w:style w:type="paragraph" w:styleId="30">
    <w:name w:val="List Bullet 3"/>
    <w:basedOn w:val="a1"/>
    <w:uiPriority w:val="99"/>
    <w:unhideWhenUsed/>
    <w:pPr>
      <w:numPr>
        <w:numId w:val="4"/>
      </w:numPr>
      <w:contextualSpacing/>
    </w:pPr>
  </w:style>
  <w:style w:type="paragraph" w:styleId="a8">
    <w:name w:val="Body Text"/>
    <w:basedOn w:val="a1"/>
    <w:link w:val="a9"/>
    <w:uiPriority w:val="99"/>
    <w:unhideWhenUsed/>
    <w:pPr>
      <w:spacing w:after="120"/>
    </w:pPr>
  </w:style>
  <w:style w:type="paragraph" w:styleId="3">
    <w:name w:val="List Number 3"/>
    <w:basedOn w:val="a1"/>
    <w:uiPriority w:val="99"/>
    <w:unhideWhenUsed/>
    <w:pPr>
      <w:numPr>
        <w:numId w:val="5"/>
      </w:numPr>
      <w:contextualSpacing/>
    </w:pPr>
  </w:style>
  <w:style w:type="paragraph" w:styleId="23">
    <w:name w:val="List 2"/>
    <w:basedOn w:val="a1"/>
    <w:uiPriority w:val="99"/>
    <w:unhideWhenUsed/>
    <w:pPr>
      <w:ind w:left="720" w:hanging="360"/>
      <w:contextualSpacing/>
    </w:pPr>
  </w:style>
  <w:style w:type="paragraph" w:styleId="aa">
    <w:name w:val="List Continue"/>
    <w:basedOn w:val="a1"/>
    <w:uiPriority w:val="99"/>
    <w:unhideWhenUsed/>
    <w:pPr>
      <w:spacing w:after="120"/>
      <w:ind w:left="360"/>
      <w:contextualSpacing/>
    </w:pPr>
  </w:style>
  <w:style w:type="paragraph" w:styleId="20">
    <w:name w:val="List Bullet 2"/>
    <w:basedOn w:val="a1"/>
    <w:uiPriority w:val="99"/>
    <w:unhideWhenUsed/>
    <w:pPr>
      <w:numPr>
        <w:numId w:val="6"/>
      </w:numPr>
      <w:contextualSpacing/>
    </w:pPr>
  </w:style>
  <w:style w:type="paragraph" w:styleId="ab">
    <w:name w:val="footer"/>
    <w:basedOn w:val="a1"/>
    <w:link w:val="ac"/>
    <w:uiPriority w:val="99"/>
    <w:unhideWhenUsed/>
    <w:pPr>
      <w:tabs>
        <w:tab w:val="center" w:pos="4680"/>
        <w:tab w:val="right" w:pos="9360"/>
      </w:tabs>
      <w:spacing w:after="0" w:line="240" w:lineRule="auto"/>
    </w:pPr>
  </w:style>
  <w:style w:type="paragraph" w:styleId="ad">
    <w:name w:val="header"/>
    <w:basedOn w:val="a1"/>
    <w:link w:val="ae"/>
    <w:uiPriority w:val="99"/>
    <w:unhideWhenUsed/>
    <w:pPr>
      <w:tabs>
        <w:tab w:val="center" w:pos="4680"/>
        <w:tab w:val="right" w:pos="9360"/>
      </w:tabs>
      <w:spacing w:after="0" w:line="240" w:lineRule="auto"/>
    </w:pPr>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 w:val="24"/>
      <w:szCs w:val="24"/>
    </w:rPr>
  </w:style>
  <w:style w:type="paragraph" w:styleId="af1">
    <w:name w:val="List"/>
    <w:basedOn w:val="a1"/>
    <w:uiPriority w:val="99"/>
    <w:unhideWhenUsed/>
    <w:pPr>
      <w:ind w:left="360" w:hanging="360"/>
      <w:contextualSpacing/>
    </w:pPr>
  </w:style>
  <w:style w:type="paragraph" w:styleId="24">
    <w:name w:val="Body Text 2"/>
    <w:basedOn w:val="a1"/>
    <w:link w:val="25"/>
    <w:uiPriority w:val="99"/>
    <w:unhideWhenUsed/>
    <w:pPr>
      <w:spacing w:after="120" w:line="480" w:lineRule="auto"/>
    </w:pPr>
  </w:style>
  <w:style w:type="paragraph" w:styleId="26">
    <w:name w:val="List Continue 2"/>
    <w:basedOn w:val="a1"/>
    <w:uiPriority w:val="99"/>
    <w:unhideWhenUsed/>
    <w:pPr>
      <w:spacing w:after="120"/>
      <w:ind w:left="720"/>
      <w:contextualSpacing/>
    </w:pPr>
  </w:style>
  <w:style w:type="paragraph" w:styleId="36">
    <w:name w:val="List Continue 3"/>
    <w:basedOn w:val="a1"/>
    <w:uiPriority w:val="99"/>
    <w:unhideWhenUsed/>
    <w:pPr>
      <w:spacing w:after="120"/>
      <w:ind w:left="1080"/>
      <w:contextualSpacing/>
    </w:pPr>
  </w:style>
  <w:style w:type="paragraph" w:styleId="af2">
    <w:name w:val="Title"/>
    <w:basedOn w:val="a1"/>
    <w:next w:val="a1"/>
    <w:link w:val="af3"/>
    <w:uiPriority w:val="10"/>
    <w:qFormat/>
    <w:pPr>
      <w:pBdr>
        <w:bottom w:val="single" w:sz="8" w:space="4" w:color="4F81BD" w:themeColor="accent1"/>
      </w:pBdr>
      <w:spacing w:after="16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table" w:styleId="af4">
    <w:name w:val="Table Grid"/>
    <w:basedOn w:val="a3"/>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Light Shading"/>
    <w:basedOn w:val="a3"/>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6">
    <w:name w:val="Light List"/>
    <w:basedOn w:val="a3"/>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7">
    <w:name w:val="Light Grid"/>
    <w:basedOn w:val="a3"/>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8">
    <w:name w:val="Dark List"/>
    <w:basedOn w:val="a3"/>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9">
    <w:name w:val="Colorful Shading"/>
    <w:basedOn w:val="a3"/>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a">
    <w:name w:val="Colorful List"/>
    <w:basedOn w:val="a3"/>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b">
    <w:name w:val="Colorful Grid"/>
    <w:basedOn w:val="a3"/>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c">
    <w:name w:val="Strong"/>
    <w:basedOn w:val="a2"/>
    <w:uiPriority w:val="22"/>
    <w:qFormat/>
    <w:rPr>
      <w:b/>
      <w:bCs/>
    </w:rPr>
  </w:style>
  <w:style w:type="character" w:styleId="afd">
    <w:name w:val="Emphasis"/>
    <w:basedOn w:val="a2"/>
    <w:uiPriority w:val="20"/>
    <w:qFormat/>
    <w:rPr>
      <w:i/>
      <w:iCs/>
    </w:rPr>
  </w:style>
  <w:style w:type="character" w:customStyle="1" w:styleId="ae">
    <w:name w:val="页眉 字符"/>
    <w:basedOn w:val="a2"/>
    <w:link w:val="ad"/>
    <w:uiPriority w:val="99"/>
  </w:style>
  <w:style w:type="character" w:customStyle="1" w:styleId="ac">
    <w:name w:val="页脚 字符"/>
    <w:basedOn w:val="a2"/>
    <w:link w:val="ab"/>
    <w:uiPriority w:val="99"/>
  </w:style>
  <w:style w:type="paragraph" w:styleId="afe">
    <w:name w:val="No Spacing"/>
    <w:uiPriority w:val="1"/>
    <w:qFormat/>
    <w:rPr>
      <w:sz w:val="22"/>
      <w:szCs w:val="22"/>
      <w:lang w:eastAsia="en-US"/>
    </w:rPr>
  </w:style>
  <w:style w:type="character" w:customStyle="1" w:styleId="10">
    <w:name w:val="标题 1 字符"/>
    <w:basedOn w:val="a2"/>
    <w:link w:val="1"/>
    <w:uiPriority w:val="9"/>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Pr>
      <w:rFonts w:asciiTheme="majorHAnsi" w:eastAsiaTheme="majorEastAsia" w:hAnsiTheme="majorHAnsi" w:cstheme="majorBidi"/>
      <w:b/>
      <w:bCs/>
      <w:color w:val="4F81BD" w:themeColor="accent1"/>
    </w:rPr>
  </w:style>
  <w:style w:type="character" w:customStyle="1" w:styleId="af3">
    <w:name w:val="标题 字符"/>
    <w:basedOn w:val="a2"/>
    <w:link w:val="af2"/>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rPr>
      <w:rFonts w:asciiTheme="majorHAnsi" w:eastAsiaTheme="majorEastAsia" w:hAnsiTheme="majorHAnsi" w:cstheme="majorBidi"/>
      <w:i/>
      <w:iCs/>
      <w:color w:val="4F81BD" w:themeColor="accent1"/>
      <w:spacing w:val="15"/>
      <w:sz w:val="24"/>
      <w:szCs w:val="24"/>
    </w:rPr>
  </w:style>
  <w:style w:type="paragraph" w:styleId="aff">
    <w:name w:val="List Paragraph"/>
    <w:basedOn w:val="a1"/>
    <w:uiPriority w:val="34"/>
    <w:qFormat/>
    <w:pPr>
      <w:ind w:left="720"/>
      <w:contextualSpacing/>
    </w:pPr>
  </w:style>
  <w:style w:type="character" w:customStyle="1" w:styleId="a9">
    <w:name w:val="正文文本 字符"/>
    <w:basedOn w:val="a2"/>
    <w:link w:val="a8"/>
    <w:uiPriority w:val="99"/>
  </w:style>
  <w:style w:type="character" w:customStyle="1" w:styleId="25">
    <w:name w:val="正文文本 2 字符"/>
    <w:basedOn w:val="a2"/>
    <w:link w:val="24"/>
    <w:uiPriority w:val="99"/>
  </w:style>
  <w:style w:type="character" w:customStyle="1" w:styleId="35">
    <w:name w:val="正文文本 3 字符"/>
    <w:basedOn w:val="a2"/>
    <w:link w:val="34"/>
    <w:uiPriority w:val="99"/>
    <w:rPr>
      <w:sz w:val="16"/>
      <w:szCs w:val="16"/>
    </w:rPr>
  </w:style>
  <w:style w:type="character" w:customStyle="1" w:styleId="a6">
    <w:name w:val="宏文本 字符"/>
    <w:basedOn w:val="a2"/>
    <w:link w:val="a5"/>
    <w:uiPriority w:val="99"/>
    <w:rPr>
      <w:rFonts w:ascii="Courier" w:hAnsi="Courier"/>
      <w:sz w:val="20"/>
      <w:szCs w:val="20"/>
    </w:rPr>
  </w:style>
  <w:style w:type="paragraph" w:styleId="aff0">
    <w:name w:val="Quote"/>
    <w:basedOn w:val="a1"/>
    <w:next w:val="a1"/>
    <w:link w:val="aff1"/>
    <w:uiPriority w:val="29"/>
    <w:qFormat/>
    <w:rPr>
      <w:i/>
      <w:iCs/>
      <w:color w:val="000000" w:themeColor="text1"/>
    </w:rPr>
  </w:style>
  <w:style w:type="character" w:customStyle="1" w:styleId="aff1">
    <w:name w:val="引用 字符"/>
    <w:basedOn w:val="a2"/>
    <w:link w:val="aff0"/>
    <w:uiPriority w:val="29"/>
    <w:rPr>
      <w:i/>
      <w:iCs/>
      <w:color w:val="000000" w:themeColor="text1"/>
    </w:rPr>
  </w:style>
  <w:style w:type="character" w:customStyle="1" w:styleId="40">
    <w:name w:val="标题 4 字符"/>
    <w:basedOn w:val="a2"/>
    <w:link w:val="4"/>
    <w:uiPriority w:val="9"/>
    <w:semiHidden/>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Pr>
      <w:rFonts w:asciiTheme="majorHAnsi" w:eastAsiaTheme="majorEastAsia" w:hAnsiTheme="majorHAnsi" w:cstheme="majorBidi"/>
      <w:i/>
      <w:iCs/>
      <w:color w:val="404040" w:themeColor="text1" w:themeTint="BF"/>
      <w:sz w:val="20"/>
      <w:szCs w:val="20"/>
    </w:rPr>
  </w:style>
  <w:style w:type="paragraph" w:styleId="aff2">
    <w:name w:val="Intense Quote"/>
    <w:basedOn w:val="a1"/>
    <w:next w:val="a1"/>
    <w:link w:val="aff3"/>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3">
    <w:name w:val="明显引用 字符"/>
    <w:basedOn w:val="a2"/>
    <w:link w:val="aff2"/>
    <w:uiPriority w:val="30"/>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
    <w:name w:val="TOC 标题1"/>
    <w:basedOn w:val="1"/>
    <w:next w:val="a1"/>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3.jpeg"/></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2998</Words>
  <Characters>18983</Characters>
  <Application>Microsoft Office Word</Application>
  <DocSecurity>0</DocSecurity>
  <Lines>486</Lines>
  <Paragraphs>348</Paragraphs>
  <ScaleCrop>false</ScaleCrop>
  <Company/>
  <LinksUpToDate>false</LinksUpToDate>
  <CharactersWithSpaces>21633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Transmission Electron Microscopy Assay for Bacterial Ultrastructure after Antimicrobial Peptide Treatment</dc:title>
  <dc:subject>TEM protocol for antimicrobial peptide-treated bacteria</dc:subject>
  <dc:creator>OpenAI</dc:creator>
  <cp:keywords>TEM, antimicrobial peptide, bacteria, E. coli, S. aureus, ultrastructure</cp:keywords>
  <dc:description>generated by python-docx</dc:description>
  <cp:lastModifiedBy>子森 彭</cp:lastModifiedBy>
  <cp:revision>2</cp:revision>
  <dcterms:created xsi:type="dcterms:W3CDTF">2026-06-11T02:57:00Z</dcterms:created>
  <dcterms:modified xsi:type="dcterms:W3CDTF">2026-06-11T02:57:00Z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2052-6.12.1.8902</vt:lpwstr>
  </property>
  <property fmtid="{D5CDD505-2E9C-101B-9397-08002B2CF9AE}" pid="3" name="ICV">
    <vt:lpwstr>981FCA0294A29D628AE3236ACB573746_42</vt:lpwstr>
  </property>
</Properties>
</file>