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43C2B">
      <w:pPr>
        <w:spacing w:before="480" w:after="8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2"/>
        </w:rPr>
        <w:t>Human Practices</w:t>
      </w:r>
    </w:p>
    <w:p w14:paraId="20A8E128">
      <w:pPr>
        <w:spacing w:before="0" w:after="360" w:line="240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6"/>
        </w:rPr>
        <w:t>第四次调研：把 AMPlify 放进跨校交流</w:t>
      </w:r>
    </w:p>
    <w:p w14:paraId="5067F445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077EF20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2026 年 4 月 18 日，AMPlify 团队围绕两校 iGEM 社团合作与项目建设，整理了对哈尔滨工业大学生命科学与医学学部聂桓老师的访谈材料。本轮调研把项目放到更大的协作环境中：一个 AI 生成抗菌肽项目，怎样才能被其他团队看懂，并在交流中呈现出清晰的工程化逻辑？</w:t>
      </w:r>
    </w:p>
    <w:p w14:paraId="22C60CBB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在此之前，我们已经通过动物医院、家畜生物学实验室和湿实验路线访谈，将 AMPlify 从“动物感染与减抗需求”推进到“AI 候选肽 + MIC/溶血/CCK-8/TEM/MD 的证据链”。聂老师的反馈提醒我们，项目质量还取决于能否共享资源、总结失败经验，并把生物学问题写成可交流、可理解的工程化系统。</w:t>
      </w:r>
    </w:p>
    <w:p w14:paraId="15C03C50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因此，这一站在 HP 主线中的作用是把 AMPlify 从“本队内部验证”推向“跨校协作与外部视角”。它提醒我们：项目需要被其他团队看懂，叙事需要经得起外部提问，工程化目标也需要用更清晰的语言表达。</w:t>
      </w:r>
    </w:p>
    <w:p w14:paraId="05663BD0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F31C8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CB23A0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从单队项目到跨校交流</w:t>
            </w:r>
          </w:p>
        </w:tc>
      </w:tr>
      <w:tr w14:paraId="55E356D9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34D332B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2EF8BD8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哈尔滨工业大学生命科学与医学学部聂桓老师。</w:t>
            </w:r>
          </w:p>
        </w:tc>
      </w:tr>
      <w:tr w14:paraId="1B7A122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0A7BA3B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469BF128">
            <w:pPr>
              <w:spacing w:before="0" w:after="0" w:line="264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我们需要判断项目如何在跨校交流中被更清楚地讲述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eastAsia="zh-CN"/>
              </w:rPr>
              <w:t>。</w:t>
            </w:r>
          </w:p>
        </w:tc>
      </w:tr>
      <w:tr w14:paraId="1E6A85E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872F09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2FEBE9E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iGEM 是跨学科、跨校际的交流平台。真正有价值的合作应共享不可复制的资源、失败经验和项目建设思路，而不是停留在表面交流。</w:t>
            </w:r>
          </w:p>
        </w:tc>
      </w:tr>
      <w:tr w14:paraId="117363E7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CE1319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432394C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我们把“跨校交流与外部视角”加入 HP 主线：在介绍 AMPlify 时，不只展示候选肽和实验结果，也说明项目的工程化目标、合作价值和证据边界。</w:t>
            </w:r>
          </w:p>
        </w:tc>
      </w:tr>
    </w:tbl>
    <w:p w14:paraId="361CB9ED"/>
    <w:p w14:paraId="314C6EF7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故事主线：为什么这一站放在湿实验之后？</w:t>
      </w:r>
    </w:p>
    <w:p w14:paraId="541EC3C9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前三站 HP 让 AMPlify 的问题逐渐变窄：我们不只是讨论“抗菌肽有没有意义”，而是在真实动物感染和耐药压力背景下，筛选 7 条候选肽，并用实验和模拟判断它们是否值得继续研究。到这一步，项目的主要风险从“有没有方向”变成了“别人能否理解我们的判断”。</w:t>
      </w:r>
    </w:p>
    <w:p w14:paraId="4217987A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聂老师把这个问题重新拉回 iGEM 的本质：iGEM 是跨学科、跨校际的全球交流平台。好的合作不是简单合影或互相介绍项目，而是共享不可复制的资源、导师经验、平台条件和失败教训。对 AMPlify 来说，这意味着我们的 HP 不应只记录“做了什么”，还应说明项目如何在交流中变得更清楚、更工程化、更能被外部团队理解。</w:t>
      </w:r>
    </w:p>
    <w:p w14:paraId="53D084A6">
      <w:pPr>
        <w:spacing w:before="120" w:after="60" w:line="240" w:lineRule="auto"/>
        <w:jc w:val="center"/>
      </w:pPr>
      <w:r>
        <w:drawing>
          <wp:inline distT="0" distB="0" distL="114300" distR="114300">
            <wp:extent cx="4434840" cy="344741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BFD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团队成员与聂桓老师围绕两校 iGEM 合作和项目工程化建设进行交流。</w:t>
      </w:r>
    </w:p>
    <w:p w14:paraId="66DF4118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这次交流改变了什么？</w:t>
      </w:r>
    </w:p>
    <w:p w14:paraId="547E1FC6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协作方式：把跨校交流写成真实项目建设的一部分</w:t>
      </w:r>
      <w:r>
        <w:rPr>
          <w:rFonts w:hint="eastAsia"/>
          <w:b w:val="0"/>
          <w:i w:val="0"/>
          <w:color w:val="0F172A"/>
          <w:sz w:val="20"/>
          <w:lang w:eastAsia="zh-CN"/>
        </w:rPr>
        <w:t>。</w:t>
      </w:r>
    </w:p>
    <w:p w14:paraId="20A8AA8E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软件表达：候选肽报告需要让非本队成员快速看懂证据来源、证据等级、风险边界和下一步验证。</w:t>
      </w:r>
    </w:p>
    <w:p w14:paraId="0B48C0DC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工程化意识：避免纯理论叙事，强调 AMPlify 是面向实际动物健康与减抗需求的工程化生物设计框架。</w:t>
      </w:r>
    </w:p>
    <w:p w14:paraId="32FB1B11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这一站放在主线里的意义</w:t>
      </w:r>
    </w:p>
    <w:p w14:paraId="38DF82D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这一站可以作为湿实验路线之后的轻量 HP 节点。它不承担技术验证任务，而是承担叙事转折：AMPlify 已经不只是一个队伍内部推进的抗菌肽项目，也开始进入跨校交流语境。我们需要把项目讲成一个可以被其他 iGEM 团队理解、讨论和借鉴的工程化生物设计案例。</w:t>
      </w:r>
    </w:p>
    <w:p w14:paraId="50218D3A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因此，在 Wiki 中这一段可以简洁呈现为：聂老师的建议帮助我们意识到，跨校合作的价值不在于形式上的交流，而在于资源互补、失败经验共享和开放视角。它让 AMPlify 的 HP 主线从“真实需求是什么、证据能证明什么”进一步走向“项目如何被更清楚地交流”。</w:t>
      </w:r>
    </w:p>
    <w:p w14:paraId="45EC9D3A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仍需谨慎说明的内容</w:t>
      </w:r>
      <w:bookmarkStart w:id="0" w:name="_GoBack"/>
      <w:bookmarkEnd w:id="0"/>
    </w:p>
    <w:p w14:paraId="65D02776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本轮调研支持的是 AMPlify 的协作机制和项目表达方式，而不是证明候选抗菌肽已经具备真实应用条件。我们仍需要把当前证据限定为候选筛选、体外验证和软件决策支持；任何动物治疗、产业化生产或环境释放相关表述，都应作为未来验证方向，而不是当前结论。</w:t>
      </w:r>
    </w:p>
    <w:sectPr>
      <w:headerReference r:id="rId5" w:type="default"/>
      <w:footerReference r:id="rId6" w:type="default"/>
      <w:pgSz w:w="12240" w:h="15840"/>
      <w:pgMar w:top="1080" w:right="1181" w:bottom="1080" w:left="1181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12AB47BC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4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1501</Words>
  <Characters>1651</Characters>
  <Lines>486</Lines>
  <Paragraphs>348</Paragraphs>
  <TotalTime>10</TotalTime>
  <ScaleCrop>false</ScaleCrop>
  <LinksUpToDate>false</LinksUpToDate>
  <CharactersWithSpaces>1719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王宏祥</cp:lastModifiedBy>
  <dcterms:modified xsi:type="dcterms:W3CDTF">2026-06-14T07:22:38Z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F35FA566913F4063B30BB2D435046CB9_13</vt:lpwstr>
  </property>
  <property fmtid="{D5CDD505-2E9C-101B-9397-08002B2CF9AE}" pid="4" name="KSOTemplateDocerSaveRecord">
    <vt:lpwstr>eyJoZGlkIjoiNjY5YjE2NzIxZDljNzc1YzQ4NzY3MjlmMTg2MTRhNWMiLCJ1c2VySWQiOiIxNzM4NDk4NjQ5In0=</vt:lpwstr>
  </property>
</Properties>
</file>