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F11A8">
      <w:pPr>
        <w:spacing w:before="480" w:after="80" w:line="240" w:lineRule="auto"/>
        <w:jc w:val="center"/>
      </w:pPr>
      <w:r>
        <w:rPr>
          <w:rFonts w:ascii="Calibri" w:hAnsi="Calibri" w:eastAsia="微软雅黑"/>
          <w:b/>
          <w:i w:val="0"/>
          <w:color w:val="0F172A"/>
          <w:sz w:val="42"/>
        </w:rPr>
        <w:t>Human Practices</w:t>
      </w:r>
    </w:p>
    <w:p w14:paraId="45925D9A">
      <w:pPr>
        <w:spacing w:before="0" w:after="360" w:line="240" w:lineRule="auto"/>
        <w:jc w:val="center"/>
      </w:pPr>
      <w:r>
        <w:rPr>
          <w:rFonts w:ascii="Calibri" w:hAnsi="Calibri" w:eastAsia="微软雅黑"/>
          <w:b/>
          <w:i w:val="0"/>
          <w:color w:val="2563EB"/>
          <w:sz w:val="26"/>
        </w:rPr>
        <w:t>第五次调研：从宠物照护现场理解用药复杂性</w:t>
      </w:r>
    </w:p>
    <w:p w14:paraId="0CA5D864">
      <w:pPr>
        <w:pStyle w:val="3"/>
        <w:spacing w:before="260" w:after="100" w:line="264" w:lineRule="auto"/>
      </w:pPr>
      <w:r>
        <w:rPr>
          <w:rFonts w:ascii="Calibri" w:hAnsi="Calibri" w:eastAsia="微软雅黑"/>
          <w:b/>
          <w:i w:val="0"/>
          <w:color w:val="0F172A"/>
          <w:sz w:val="32"/>
        </w:rPr>
        <w:t>概述</w:t>
      </w:r>
    </w:p>
    <w:p w14:paraId="10E7B7F4">
      <w:pPr>
        <w:spacing w:before="0" w:after="120" w:line="274" w:lineRule="auto"/>
      </w:pPr>
      <w:r>
        <w:rPr>
          <w:rFonts w:ascii="Calibri" w:hAnsi="Calibri" w:eastAsia="微软雅黑"/>
          <w:b w:val="0"/>
          <w:i w:val="0"/>
          <w:color w:val="0F172A"/>
          <w:sz w:val="21"/>
        </w:rPr>
        <w:t>2026 年 4 月 19 日，AMPlify 团队在项目会议后前往西安市浮生闲猫咪驿站，与一线工作人员交流宠物猫疾病护理和用药经验。这一站</w:t>
      </w:r>
      <w:r>
        <w:rPr>
          <w:rFonts w:hint="eastAsia"/>
          <w:b w:val="0"/>
          <w:i w:val="0"/>
          <w:color w:val="0F172A"/>
          <w:sz w:val="21"/>
          <w:lang w:val="en-US" w:eastAsia="zh-CN"/>
        </w:rPr>
        <w:t>进一步</w:t>
      </w:r>
      <w:r>
        <w:rPr>
          <w:rFonts w:ascii="Calibri" w:hAnsi="Calibri" w:eastAsia="微软雅黑"/>
          <w:b w:val="0"/>
          <w:i w:val="0"/>
          <w:color w:val="0F172A"/>
          <w:sz w:val="21"/>
        </w:rPr>
        <w:t>补全</w:t>
      </w:r>
      <w:r>
        <w:rPr>
          <w:rFonts w:hint="eastAsia"/>
          <w:b w:val="0"/>
          <w:i w:val="0"/>
          <w:color w:val="0F172A"/>
          <w:sz w:val="21"/>
          <w:lang w:val="en-US" w:eastAsia="zh-CN"/>
        </w:rPr>
        <w:t>了</w:t>
      </w:r>
      <w:r>
        <w:rPr>
          <w:rFonts w:ascii="Calibri" w:hAnsi="Calibri" w:eastAsia="微软雅黑"/>
          <w:b w:val="0"/>
          <w:i w:val="0"/>
          <w:color w:val="0F172A"/>
          <w:sz w:val="21"/>
        </w:rPr>
        <w:t>项目主线中的利益相关者视角：在真实宠物照护场景中，抗菌药物、消炎药、消毒护理和主人自行用药是如何交织在一起的？</w:t>
      </w:r>
    </w:p>
    <w:p w14:paraId="7E87C6D6">
      <w:pPr>
        <w:spacing w:before="0" w:after="120" w:line="274" w:lineRule="auto"/>
      </w:pPr>
      <w:r>
        <w:rPr>
          <w:rFonts w:ascii="Calibri" w:hAnsi="Calibri" w:eastAsia="微软雅黑"/>
          <w:b w:val="0"/>
          <w:i w:val="0"/>
          <w:color w:val="0F172A"/>
          <w:sz w:val="21"/>
        </w:rPr>
        <w:t>此前宠物医院调研曾提示我们，宠物医疗中的耐药压力并不一定像规模化养殖或乳腺炎场景那样集中，因此 AMPlify 不能把所有动物感染场景都写成同一种紧迫性。猫咪驿站工作人员的经验让这个判断变得更细：宠物端或许不适合作为核心验证场景，但它</w:t>
      </w:r>
      <w:r>
        <w:rPr>
          <w:rFonts w:hint="eastAsia"/>
          <w:b w:val="0"/>
          <w:i w:val="0"/>
          <w:color w:val="0F172A"/>
          <w:sz w:val="21"/>
          <w:lang w:val="en-US" w:eastAsia="zh-CN"/>
        </w:rPr>
        <w:t>的确</w:t>
      </w:r>
      <w:r>
        <w:rPr>
          <w:rFonts w:ascii="Calibri" w:hAnsi="Calibri" w:eastAsia="微软雅黑"/>
          <w:b w:val="0"/>
          <w:i w:val="0"/>
          <w:color w:val="0F172A"/>
          <w:sz w:val="21"/>
        </w:rPr>
        <w:t>存在错误用药、过量用药、皮肤病反复、耳部感染和联合用药复杂性</w:t>
      </w:r>
      <w:r>
        <w:rPr>
          <w:rFonts w:hint="eastAsia"/>
          <w:b w:val="0"/>
          <w:i w:val="0"/>
          <w:color w:val="0F172A"/>
          <w:sz w:val="21"/>
          <w:lang w:val="en-US" w:eastAsia="zh-CN"/>
        </w:rPr>
        <w:t>的问题</w:t>
      </w:r>
      <w:r>
        <w:rPr>
          <w:rFonts w:ascii="Calibri" w:hAnsi="Calibri" w:eastAsia="微软雅黑"/>
          <w:b w:val="0"/>
          <w:i w:val="0"/>
          <w:color w:val="0F172A"/>
          <w:sz w:val="21"/>
        </w:rPr>
        <w:t>。</w:t>
      </w:r>
    </w:p>
    <w:p w14:paraId="212C074D">
      <w:pPr>
        <w:spacing w:before="0" w:after="120" w:line="274" w:lineRule="auto"/>
      </w:pPr>
      <w:r>
        <w:rPr>
          <w:rFonts w:ascii="Calibri" w:hAnsi="Calibri" w:eastAsia="微软雅黑"/>
          <w:b w:val="0"/>
          <w:i w:val="0"/>
          <w:color w:val="0F172A"/>
          <w:sz w:val="21"/>
        </w:rPr>
        <w:t>因此，这一站在 HP 主线中的位置，是把“动物感染与抗菌药物使用”从抽象背景推进到日常照护现实。它帮助我们说明：AMPlify 是在不同动物场景中寻找更负责任、更可解释的候选方案，并始终保留应用边界。</w:t>
      </w:r>
    </w:p>
    <w:p w14:paraId="7681EC2A">
      <w:pPr>
        <w:pStyle w:val="3"/>
        <w:spacing w:before="260" w:after="100" w:line="264" w:lineRule="auto"/>
      </w:pPr>
      <w:r>
        <w:rPr>
          <w:rFonts w:ascii="Calibri" w:hAnsi="Calibri" w:eastAsia="微软雅黑"/>
          <w:b/>
          <w:i w:val="0"/>
          <w:color w:val="0F172A"/>
          <w:sz w:val="32"/>
        </w:rPr>
        <w:t>Human Practices 摘要卡片</w:t>
      </w:r>
    </w:p>
    <w:tbl>
      <w:tblPr>
        <w:tblStyle w:val="32"/>
        <w:tblW w:w="9360" w:type="dxa"/>
        <w:tblInd w:w="120" w:type="dxa"/>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Layout w:type="fixed"/>
        <w:tblCellMar>
          <w:top w:w="0" w:type="dxa"/>
          <w:left w:w="108" w:type="dxa"/>
          <w:bottom w:w="0" w:type="dxa"/>
          <w:right w:w="108" w:type="dxa"/>
        </w:tblCellMar>
      </w:tblPr>
      <w:tblGrid>
        <w:gridCol w:w="9360"/>
      </w:tblGrid>
      <w:tr w14:paraId="7298815F">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shd w:val="clear" w:color="auto" w:fill="EAF2FF"/>
            <w:tcMar>
              <w:top w:w="110" w:type="dxa"/>
              <w:left w:w="150" w:type="dxa"/>
              <w:bottom w:w="110" w:type="dxa"/>
              <w:right w:w="150" w:type="dxa"/>
            </w:tcMar>
            <w:vAlign w:val="center"/>
          </w:tcPr>
          <w:p w14:paraId="626CF773">
            <w:pPr>
              <w:spacing w:before="0" w:after="0" w:line="264" w:lineRule="auto"/>
            </w:pPr>
            <w:r>
              <w:rPr>
                <w:rFonts w:ascii="Calibri" w:hAnsi="Calibri" w:eastAsia="微软雅黑"/>
                <w:b/>
                <w:i w:val="0"/>
                <w:color w:val="2563EB"/>
                <w:sz w:val="22"/>
              </w:rPr>
              <w:t>从宠物医疗印象到一线照护现实</w:t>
            </w:r>
          </w:p>
        </w:tc>
      </w:tr>
      <w:tr w14:paraId="170E0B9D">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110" w:type="dxa"/>
              <w:left w:w="150" w:type="dxa"/>
              <w:bottom w:w="110" w:type="dxa"/>
              <w:right w:w="150" w:type="dxa"/>
            </w:tcMar>
            <w:vAlign w:val="center"/>
          </w:tcPr>
          <w:p w14:paraId="083974E3">
            <w:pPr>
              <w:spacing w:before="0" w:after="40" w:line="264" w:lineRule="auto"/>
            </w:pPr>
            <w:r>
              <w:rPr>
                <w:rFonts w:ascii="Calibri" w:hAnsi="Calibri" w:eastAsia="微软雅黑"/>
                <w:b/>
                <w:i w:val="0"/>
                <w:color w:val="0F172A"/>
                <w:sz w:val="19"/>
              </w:rPr>
              <w:t>我们联系了谁：</w:t>
            </w:r>
          </w:p>
          <w:p w14:paraId="55EA71E0">
            <w:pPr>
              <w:spacing w:before="0" w:after="0" w:line="264" w:lineRule="auto"/>
            </w:pPr>
            <w:r>
              <w:rPr>
                <w:rFonts w:ascii="Calibri" w:hAnsi="Calibri" w:eastAsia="微软雅黑"/>
                <w:b w:val="0"/>
                <w:i w:val="0"/>
                <w:color w:val="0F172A"/>
                <w:sz w:val="18"/>
              </w:rPr>
              <w:t>西安市浮生闲猫咪驿站工作人员。访谈围绕宠物猫常见疾病、抗生素与消炎药使用、皮肤病反复、耳部感染、联合用药和主人误用药物展开。</w:t>
            </w:r>
          </w:p>
        </w:tc>
      </w:tr>
      <w:tr w14:paraId="09F8052C">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110" w:type="dxa"/>
              <w:left w:w="150" w:type="dxa"/>
              <w:bottom w:w="110" w:type="dxa"/>
              <w:right w:w="150" w:type="dxa"/>
            </w:tcMar>
            <w:vAlign w:val="center"/>
          </w:tcPr>
          <w:p w14:paraId="3C54F8FC">
            <w:pPr>
              <w:spacing w:before="0" w:after="40" w:line="264" w:lineRule="auto"/>
            </w:pPr>
            <w:r>
              <w:rPr>
                <w:rFonts w:ascii="Calibri" w:hAnsi="Calibri" w:eastAsia="微软雅黑"/>
                <w:b/>
                <w:i w:val="0"/>
                <w:color w:val="0F172A"/>
                <w:sz w:val="19"/>
              </w:rPr>
              <w:t>为什么：</w:t>
            </w:r>
          </w:p>
          <w:p w14:paraId="654419CC">
            <w:pPr>
              <w:spacing w:before="0" w:after="0" w:line="264" w:lineRule="auto"/>
            </w:pPr>
            <w:r>
              <w:rPr>
                <w:rFonts w:ascii="Calibri" w:hAnsi="Calibri" w:eastAsia="微软雅黑"/>
                <w:b w:val="0"/>
                <w:i w:val="0"/>
                <w:color w:val="0F172A"/>
                <w:sz w:val="18"/>
              </w:rPr>
              <w:t>此前宠物医院调研让我们意识到，宠物场景中的耐药压力并不一定像规模化养殖那样集中。但我们仍需要来自一线照护者的视角，理解宠物端真实用药行为是否存在被忽略的风险。</w:t>
            </w:r>
          </w:p>
        </w:tc>
      </w:tr>
      <w:tr w14:paraId="02CA813C">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110" w:type="dxa"/>
              <w:left w:w="150" w:type="dxa"/>
              <w:bottom w:w="110" w:type="dxa"/>
              <w:right w:w="150" w:type="dxa"/>
            </w:tcMar>
            <w:vAlign w:val="center"/>
          </w:tcPr>
          <w:p w14:paraId="5E17510D">
            <w:pPr>
              <w:spacing w:before="0" w:after="40" w:line="264" w:lineRule="auto"/>
            </w:pPr>
            <w:r>
              <w:rPr>
                <w:rFonts w:ascii="Calibri" w:hAnsi="Calibri" w:eastAsia="微软雅黑"/>
                <w:b/>
                <w:i w:val="0"/>
                <w:color w:val="0F172A"/>
                <w:sz w:val="19"/>
              </w:rPr>
              <w:t>我们学到了什么：</w:t>
            </w:r>
          </w:p>
          <w:p w14:paraId="26BA6262">
            <w:pPr>
              <w:spacing w:before="0" w:after="0" w:line="264" w:lineRule="auto"/>
            </w:pPr>
            <w:r>
              <w:rPr>
                <w:rFonts w:ascii="Calibri" w:hAnsi="Calibri" w:eastAsia="微软雅黑"/>
                <w:b w:val="0"/>
                <w:i w:val="0"/>
                <w:color w:val="0F172A"/>
                <w:sz w:val="18"/>
              </w:rPr>
              <w:t>宠物猫并不是频繁使用抗生素的对象，但不当用药、过量用药、反复皮肤病和局部感染仍可能造成治疗困难。实际场景中，问题常常不是“用不用抗生素”这么简单，而是诊断、剂量、联合用药和主人认知共同决定结果。</w:t>
            </w:r>
          </w:p>
        </w:tc>
      </w:tr>
      <w:tr w14:paraId="524EA0F8">
        <w:tblPrEx>
          <w:tblBorders>
            <w:top w:val="single" w:color="D7DCE5" w:sz="6" w:space="0"/>
            <w:left w:val="single" w:color="D7DCE5" w:sz="6" w:space="0"/>
            <w:bottom w:val="single" w:color="D7DCE5" w:sz="6" w:space="0"/>
            <w:right w:val="single" w:color="D7DCE5" w:sz="6" w:space="0"/>
            <w:insideH w:val="single" w:color="D7DCE5" w:sz="6" w:space="0"/>
            <w:insideV w:val="single" w:color="D7DCE5" w:sz="6" w:space="0"/>
          </w:tblBorders>
          <w:tblCellMar>
            <w:top w:w="0" w:type="dxa"/>
            <w:left w:w="108" w:type="dxa"/>
            <w:bottom w:w="0" w:type="dxa"/>
            <w:right w:w="108" w:type="dxa"/>
          </w:tblCellMar>
        </w:tblPrEx>
        <w:tc>
          <w:tcPr>
            <w:tcW w:w="9360" w:type="dxa"/>
            <w:tcMar>
              <w:top w:w="110" w:type="dxa"/>
              <w:left w:w="150" w:type="dxa"/>
              <w:bottom w:w="110" w:type="dxa"/>
              <w:right w:w="150" w:type="dxa"/>
            </w:tcMar>
            <w:vAlign w:val="center"/>
          </w:tcPr>
          <w:p w14:paraId="34278EDC">
            <w:pPr>
              <w:spacing w:before="0" w:after="40" w:line="264" w:lineRule="auto"/>
            </w:pPr>
            <w:r>
              <w:rPr>
                <w:rFonts w:ascii="Calibri" w:hAnsi="Calibri" w:eastAsia="微软雅黑"/>
                <w:b/>
                <w:i w:val="0"/>
                <w:color w:val="0F172A"/>
                <w:sz w:val="19"/>
              </w:rPr>
              <w:t>我们如何修改项目：</w:t>
            </w:r>
          </w:p>
          <w:p w14:paraId="7D050B81">
            <w:pPr>
              <w:spacing w:before="0" w:after="0" w:line="264" w:lineRule="auto"/>
            </w:pPr>
            <w:r>
              <w:rPr>
                <w:rFonts w:ascii="Calibri" w:hAnsi="Calibri" w:eastAsia="微软雅黑"/>
                <w:b w:val="0"/>
                <w:i w:val="0"/>
                <w:color w:val="0F172A"/>
                <w:sz w:val="18"/>
              </w:rPr>
              <w:t>我们把宠物端写成 AMPlify 主线中的“日常照护与用药认知”层：它帮助我们解释为什么抗菌药物替代方案必须谨慎、可解释，并明确边界；同时也说明项目主要验证场景仍应聚焦更高风险、更可控的动物感染问题。</w:t>
            </w:r>
          </w:p>
        </w:tc>
      </w:tr>
    </w:tbl>
    <w:p w14:paraId="0FF29E9B"/>
    <w:p w14:paraId="477A376F">
      <w:pPr>
        <w:pStyle w:val="3"/>
        <w:spacing w:before="260" w:after="100" w:line="264" w:lineRule="auto"/>
      </w:pPr>
      <w:r>
        <w:rPr>
          <w:rFonts w:ascii="Calibri" w:hAnsi="Calibri" w:eastAsia="微软雅黑"/>
          <w:b/>
          <w:i w:val="0"/>
          <w:color w:val="0F172A"/>
          <w:sz w:val="32"/>
        </w:rPr>
        <w:t>故事主线：宠物端的问题为什么仍然重要？</w:t>
      </w:r>
    </w:p>
    <w:p w14:paraId="0DEE3565">
      <w:pPr>
        <w:spacing w:before="0" w:after="120" w:line="274" w:lineRule="auto"/>
      </w:pPr>
      <w:r>
        <w:rPr>
          <w:rFonts w:ascii="Calibri" w:hAnsi="Calibri" w:eastAsia="微软雅黑"/>
          <w:b w:val="0"/>
          <w:i w:val="0"/>
          <w:color w:val="0F172A"/>
          <w:sz w:val="21"/>
        </w:rPr>
        <w:t>在最初的项目讨论中，宠物感染似乎是一个很直观的入口：猫狗与人类距离近，主人对治疗效果也敏感。但随着我们访问宠物医院和一线照护者，问题变得更</w:t>
      </w:r>
      <w:r>
        <w:rPr>
          <w:rFonts w:hint="eastAsia"/>
          <w:b w:val="0"/>
          <w:i w:val="0"/>
          <w:color w:val="0F172A"/>
          <w:sz w:val="21"/>
          <w:lang w:val="en-US" w:eastAsia="zh-CN"/>
        </w:rPr>
        <w:t>加</w:t>
      </w:r>
      <w:r>
        <w:rPr>
          <w:rFonts w:ascii="Calibri" w:hAnsi="Calibri" w:eastAsia="微软雅黑"/>
          <w:b w:val="0"/>
          <w:i w:val="0"/>
          <w:color w:val="0F172A"/>
          <w:sz w:val="21"/>
        </w:rPr>
        <w:t>复杂</w:t>
      </w:r>
      <w:r>
        <w:rPr>
          <w:rFonts w:hint="eastAsia"/>
          <w:b w:val="0"/>
          <w:i w:val="0"/>
          <w:color w:val="0F172A"/>
          <w:sz w:val="21"/>
          <w:lang w:val="en-US" w:eastAsia="zh-CN"/>
        </w:rPr>
        <w:t>了</w:t>
      </w:r>
      <w:r>
        <w:rPr>
          <w:rFonts w:ascii="Calibri" w:hAnsi="Calibri" w:eastAsia="微软雅黑"/>
          <w:b w:val="0"/>
          <w:i w:val="0"/>
          <w:color w:val="0F172A"/>
          <w:sz w:val="21"/>
        </w:rPr>
        <w:t>。工作人员指出，猫并不是抗生素使用最频繁的动物；病毒感染、皮肤问题和耳部问题往往会先通过护理、消毒、消炎、外用药或联合方案处理。也就是说，宠物端并不能被简单写成“抗生素大量使用”的场景。</w:t>
      </w:r>
    </w:p>
    <w:p w14:paraId="2D7FA1A2">
      <w:pPr>
        <w:spacing w:before="0" w:after="120" w:line="274" w:lineRule="auto"/>
      </w:pPr>
      <w:r>
        <w:rPr>
          <w:rFonts w:ascii="Calibri" w:hAnsi="Calibri" w:eastAsia="微软雅黑"/>
          <w:b w:val="0"/>
          <w:i w:val="0"/>
          <w:color w:val="0F172A"/>
          <w:sz w:val="21"/>
        </w:rPr>
        <w:t>然而，这并不意味着宠物端与 AMPlify 无关。恰恰相反，这一站让我们看到另一种风险：当疾病反复、诊断不清或主人自行用药时，治疗会变得混乱。工作人员提到，皮肤病可能因为反复使用抗菌药物而越来越难处理；耳部局部感染也常常需要根据具体病原体调整方案。对 AMPlify 来说，这说明真实世界中的抗菌方案必须能被解释、被限制，并且不能鼓励非专业人员自行使用。</w:t>
      </w:r>
    </w:p>
    <w:p w14:paraId="68270571">
      <w:pPr>
        <w:spacing w:before="120" w:after="60" w:line="240" w:lineRule="auto"/>
        <w:jc w:val="center"/>
      </w:pPr>
      <w:r>
        <w:drawing>
          <wp:inline distT="0" distB="0" distL="114300" distR="114300">
            <wp:extent cx="4480560" cy="2987040"/>
            <wp:effectExtent l="0" t="0" r="254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480560" cy="2987040"/>
                    </a:xfrm>
                    <a:prstGeom prst="rect">
                      <a:avLst/>
                    </a:prstGeom>
                  </pic:spPr>
                </pic:pic>
              </a:graphicData>
            </a:graphic>
          </wp:inline>
        </w:drawing>
      </w:r>
    </w:p>
    <w:p w14:paraId="191506EE">
      <w:pPr>
        <w:spacing w:before="0" w:after="160" w:line="252" w:lineRule="auto"/>
        <w:jc w:val="center"/>
      </w:pPr>
      <w:r>
        <w:rPr>
          <w:rFonts w:ascii="Calibri" w:hAnsi="Calibri" w:eastAsia="微软雅黑"/>
          <w:b w:val="0"/>
          <w:i w:val="0"/>
          <w:color w:val="505869"/>
          <w:sz w:val="17"/>
        </w:rPr>
        <w:t>图 1. AMPlify 团队在浮生闲猫咪驿站与工作人员交流宠物照护和用药经验。</w:t>
      </w:r>
    </w:p>
    <w:p w14:paraId="3A912F32">
      <w:pPr>
        <w:pStyle w:val="3"/>
        <w:spacing w:before="260" w:after="100" w:line="264" w:lineRule="auto"/>
      </w:pPr>
      <w:r>
        <w:rPr>
          <w:rFonts w:ascii="Calibri" w:hAnsi="Calibri" w:eastAsia="微软雅黑"/>
          <w:b/>
          <w:i w:val="0"/>
          <w:color w:val="0F172A"/>
          <w:sz w:val="32"/>
        </w:rPr>
        <w:t>这次调研如何推进项目主线？</w:t>
      </w:r>
    </w:p>
    <w:p w14:paraId="362CA923">
      <w:pPr>
        <w:pStyle w:val="16"/>
        <w:spacing w:before="0" w:after="60" w:line="269" w:lineRule="auto"/>
      </w:pPr>
      <w:r>
        <w:rPr>
          <w:rFonts w:ascii="Calibri" w:hAnsi="Calibri" w:eastAsia="微软雅黑"/>
          <w:b w:val="0"/>
          <w:i w:val="0"/>
          <w:color w:val="0F172A"/>
          <w:sz w:val="20"/>
        </w:rPr>
        <w:t>它让宠物端从“核心验证场景”转变为“真实用药行为和公众认知场景”。</w:t>
      </w:r>
    </w:p>
    <w:p w14:paraId="59BE68CD">
      <w:pPr>
        <w:pStyle w:val="16"/>
        <w:spacing w:before="0" w:after="60" w:line="269" w:lineRule="auto"/>
      </w:pPr>
      <w:r>
        <w:rPr>
          <w:rFonts w:ascii="Calibri" w:hAnsi="Calibri" w:eastAsia="微软雅黑"/>
          <w:b w:val="0"/>
          <w:i w:val="0"/>
          <w:color w:val="0F172A"/>
          <w:sz w:val="20"/>
        </w:rPr>
        <w:t>它解释了为什么 AMPlify 需要谨慎表达：候选抗菌肽不是给宠物主人直接使用的产品，仍处于筛选和体外验证阶段。</w:t>
      </w:r>
    </w:p>
    <w:p w14:paraId="211D4754">
      <w:pPr>
        <w:pStyle w:val="16"/>
        <w:spacing w:before="0" w:after="60" w:line="269" w:lineRule="auto"/>
      </w:pPr>
      <w:r>
        <w:rPr>
          <w:rFonts w:ascii="Calibri" w:hAnsi="Calibri" w:eastAsia="微软雅黑"/>
          <w:b w:val="0"/>
          <w:i w:val="0"/>
          <w:color w:val="0F172A"/>
          <w:sz w:val="20"/>
        </w:rPr>
        <w:t>它补强了 One Health 主线：抗菌药物风险不仅来自实验室或养殖场，也来自日常照护中的误用、过量和反复治疗。</w:t>
      </w:r>
      <w:bookmarkStart w:id="0" w:name="_GoBack"/>
      <w:bookmarkEnd w:id="0"/>
    </w:p>
    <w:p w14:paraId="2DD3A24E">
      <w:pPr>
        <w:pStyle w:val="16"/>
        <w:spacing w:before="0" w:after="60" w:line="269" w:lineRule="auto"/>
      </w:pPr>
      <w:r>
        <w:rPr>
          <w:rFonts w:ascii="Calibri" w:hAnsi="Calibri" w:eastAsia="微软雅黑"/>
          <w:b w:val="0"/>
          <w:i w:val="0"/>
          <w:color w:val="0F172A"/>
          <w:sz w:val="20"/>
        </w:rPr>
        <w:t>它帮助我们区分不同动物场景的优先级：宠物端适合用于教育和风险沟通，核心技术验证仍应围绕更明确的病原体和可控实验体系展开。</w:t>
      </w:r>
    </w:p>
    <w:p w14:paraId="03B31635">
      <w:pPr>
        <w:pStyle w:val="3"/>
        <w:spacing w:before="260" w:after="100" w:line="264" w:lineRule="auto"/>
      </w:pPr>
      <w:r>
        <w:rPr>
          <w:rFonts w:ascii="Calibri" w:hAnsi="Calibri" w:eastAsia="微软雅黑"/>
          <w:b/>
          <w:i w:val="0"/>
          <w:color w:val="0F172A"/>
          <w:sz w:val="32"/>
        </w:rPr>
        <w:t>放进 Wiki 时应如何描述？</w:t>
      </w:r>
    </w:p>
    <w:p w14:paraId="3E806AE2">
      <w:pPr>
        <w:spacing w:before="0" w:after="120" w:line="274" w:lineRule="auto"/>
      </w:pPr>
      <w:r>
        <w:rPr>
          <w:rFonts w:ascii="Calibri" w:hAnsi="Calibri" w:eastAsia="微软雅黑"/>
          <w:b w:val="0"/>
          <w:i w:val="0"/>
          <w:color w:val="0F172A"/>
          <w:sz w:val="21"/>
        </w:rPr>
        <w:t>这一段适合放在项目早期利益相关者调研或动物健康背景部分，承接宠物医院调研，并自然过渡到后续家畜生物学、湿实验路线和候选肽验证。它的叙事作用不是证明宠物端耐药最严重，而是说明 AMPlify 团队没有停留在单一场景假设中，而是通过不同利益相关者逐步缩小和校正项目问题。</w:t>
      </w:r>
    </w:p>
    <w:p w14:paraId="3CAC1C7A">
      <w:pPr>
        <w:spacing w:before="0" w:after="120" w:line="274" w:lineRule="auto"/>
      </w:pPr>
      <w:r>
        <w:rPr>
          <w:rFonts w:ascii="Calibri" w:hAnsi="Calibri" w:eastAsia="微软雅黑"/>
          <w:b w:val="0"/>
          <w:i w:val="0"/>
          <w:color w:val="0F172A"/>
          <w:sz w:val="21"/>
        </w:rPr>
        <w:t>可以把这一站写成一句主线转折：我们发现，宠物端的抗菌药物问题并不只表现为使用量，而更多表现为复杂护理、错误用药和公众认知风险；因此，AMPlify 后续必须同时关注候选肽的技术证据和面向真实世界的谨慎表达。</w:t>
      </w:r>
    </w:p>
    <w:p w14:paraId="58C6F5F6">
      <w:pPr>
        <w:pStyle w:val="3"/>
        <w:spacing w:before="260" w:after="100" w:line="264" w:lineRule="auto"/>
      </w:pPr>
      <w:r>
        <w:rPr>
          <w:rFonts w:ascii="Calibri" w:hAnsi="Calibri" w:eastAsia="微软雅黑"/>
          <w:b/>
          <w:i w:val="0"/>
          <w:color w:val="0F172A"/>
          <w:sz w:val="32"/>
        </w:rPr>
        <w:t>仍需谨慎说明的内容</w:t>
      </w:r>
    </w:p>
    <w:p w14:paraId="635450FB">
      <w:pPr>
        <w:spacing w:before="0" w:after="120" w:line="274" w:lineRule="auto"/>
      </w:pPr>
      <w:r>
        <w:rPr>
          <w:rFonts w:ascii="Calibri" w:hAnsi="Calibri" w:eastAsia="微软雅黑"/>
          <w:b w:val="0"/>
          <w:i w:val="0"/>
          <w:color w:val="0F172A"/>
          <w:sz w:val="21"/>
        </w:rPr>
        <w:t>本轮调研提供的是利益相关者经验和场景理解，不能替代临床数据，也不能证明 AMPlify 候选肽适用于宠物治疗。文档中应避免宣称项目能够直接解决猫咪皮肤病、耳部感染或宠物耐药问题；更稳妥的写法是：这次调研帮助我们理解宠物端用药行为的复杂性，并促使我们在项目叙事中明确应用边界。</w:t>
      </w:r>
    </w:p>
    <w:sectPr>
      <w:headerReference r:id="rId5" w:type="default"/>
      <w:footerReference r:id="rId6" w:type="default"/>
      <w:pgSz w:w="12240" w:h="15840"/>
      <w:pgMar w:top="1080" w:right="1181" w:bottom="1080" w:left="1181" w:header="173" w:footer="17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E2543">
    <w:pPr>
      <w:spacing w:after="0"/>
      <w:jc w:val="center"/>
    </w:pPr>
    <w:r>
      <w:drawing>
        <wp:inline distT="0" distB="0" distL="114300" distR="114300">
          <wp:extent cx="1115060" cy="438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1115568" cy="43841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838F5">
    <w: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502081988" name="mic_bg_protocol_body_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81988" name="mic_bg_protocol_body_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2400" cy="1005840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2A44"/>
    <w:rsid w:val="002827FA"/>
    <w:rsid w:val="0029639D"/>
    <w:rsid w:val="002F0666"/>
    <w:rsid w:val="00326F90"/>
    <w:rsid w:val="0047278C"/>
    <w:rsid w:val="006147DC"/>
    <w:rsid w:val="007F6D19"/>
    <w:rsid w:val="00AA1D8D"/>
    <w:rsid w:val="00B47730"/>
    <w:rsid w:val="00BF6AE5"/>
    <w:rsid w:val="00CB0664"/>
    <w:rsid w:val="00F522F0"/>
    <w:rsid w:val="00FC693F"/>
    <w:rsid w:val="292667BF"/>
    <w:rsid w:val="9DD91385"/>
    <w:rsid w:val="DFFEA8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274" w:lineRule="auto"/>
    </w:pPr>
    <w:rPr>
      <w:rFonts w:ascii="Calibri" w:hAnsi="Calibri" w:eastAsia="微软雅黑" w:cstheme="minorBidi"/>
      <w:color w:val="0F172A"/>
      <w:sz w:val="21"/>
      <w:szCs w:val="22"/>
      <w:lang w:val="en-US" w:eastAsia="en-US" w:bidi="ar-SA"/>
    </w:rPr>
  </w:style>
  <w:style w:type="paragraph" w:styleId="3">
    <w:name w:val="heading 1"/>
    <w:basedOn w:val="1"/>
    <w:next w:val="1"/>
    <w:link w:val="138"/>
    <w:qFormat/>
    <w:uiPriority w:val="9"/>
    <w:pPr>
      <w:keepNext/>
      <w:keepLines/>
      <w:spacing w:before="280" w:after="120" w:line="264" w:lineRule="auto"/>
      <w:outlineLvl w:val="0"/>
    </w:pPr>
    <w:rPr>
      <w:rFonts w:asciiTheme="majorHAnsi" w:hAnsiTheme="majorHAnsi" w:eastAsiaTheme="majorEastAsia" w:cstheme="majorBidi"/>
      <w:b/>
      <w:bCs/>
      <w:color w:val="0F172A"/>
      <w:sz w:val="32"/>
      <w:szCs w:val="28"/>
    </w:rPr>
  </w:style>
  <w:style w:type="paragraph" w:styleId="4">
    <w:name w:val="heading 2"/>
    <w:basedOn w:val="1"/>
    <w:next w:val="1"/>
    <w:link w:val="139"/>
    <w:unhideWhenUsed/>
    <w:qFormat/>
    <w:uiPriority w:val="9"/>
    <w:pPr>
      <w:keepNext/>
      <w:keepLines/>
      <w:spacing w:before="200" w:after="100" w:line="264" w:lineRule="auto"/>
      <w:outlineLvl w:val="1"/>
    </w:pPr>
    <w:rPr>
      <w:rFonts w:asciiTheme="majorHAnsi" w:hAnsiTheme="majorHAnsi" w:eastAsiaTheme="majorEastAsia" w:cstheme="majorBidi"/>
      <w:b/>
      <w:bCs/>
      <w:color w:val="2563EB"/>
      <w:sz w:val="26"/>
      <w:szCs w:val="26"/>
    </w:rPr>
  </w:style>
  <w:style w:type="paragraph" w:styleId="5">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before="0" w:after="60" w:line="269" w:lineRule="auto"/>
      <w:contextualSpacing/>
    </w:pPr>
    <w:rPr>
      <w:rFonts w:ascii="Calibri" w:hAnsi="Calibri" w:eastAsia="微软雅黑"/>
      <w:color w:val="0F172A"/>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6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1728</Words>
  <Characters>1834</Characters>
  <Lines>486</Lines>
  <Paragraphs>348</Paragraphs>
  <TotalTime>13</TotalTime>
  <ScaleCrop>false</ScaleCrop>
  <LinksUpToDate>false</LinksUpToDate>
  <CharactersWithSpaces>1869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2026-06-11T02:57:00Z</dcterms:created>
  <dc:creator>OpenAI</dc:creator>
  <dc:description>generated by python-docx</dc:description>
  <cp:keywords>TEM, antimicrobial peptide, bacteria, E. coli, S. aureus, ultrastructure</cp:keywords>
  <cp:lastModifiedBy>王宏祥</cp:lastModifiedBy>
  <dcterms:modified xsi:type="dcterms:W3CDTF">2026-06-14T08:15:22Z</dcterms:modified>
  <dc:subject>TEM protocol for antimicrobial peptide-treated bacteria</dc:subject>
  <dc:title>Transmission Electron Microscopy Assay for Bacterial Ultrastructure after Antimicrobial Peptide Treatment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981FCA0294A29D628AE3236ACB573746_42</vt:lpwstr>
  </property>
  <property fmtid="{D5CDD505-2E9C-101B-9397-08002B2CF9AE}" pid="4" name="KSOTemplateDocerSaveRecord">
    <vt:lpwstr>eyJoZGlkIjoiNjY5YjE2NzIxZDljNzc1YzQ4NzY3MjlmMTg2MTRhNWMiLCJ1c2VySWQiOiIxNzM4NDk4NjQ5In0=</vt:lpwstr>
  </property>
</Properties>
</file>