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3F233">
      <w:pPr>
        <w:spacing w:before="480" w:after="80" w:line="240" w:lineRule="auto"/>
        <w:jc w:val="center"/>
      </w:pPr>
      <w:r>
        <w:rPr>
          <w:rFonts w:ascii="Calibri" w:hAnsi="Calibri" w:eastAsia="微软雅黑"/>
          <w:b/>
          <w:i w:val="0"/>
          <w:color w:val="0F172A"/>
          <w:sz w:val="42"/>
        </w:rPr>
        <w:t>Human Practices</w:t>
      </w:r>
    </w:p>
    <w:p w14:paraId="67207012">
      <w:pPr>
        <w:spacing w:before="0" w:after="360" w:line="240" w:lineRule="auto"/>
        <w:jc w:val="center"/>
      </w:pPr>
      <w:r>
        <w:rPr>
          <w:rFonts w:ascii="Calibri" w:hAnsi="Calibri" w:eastAsia="微软雅黑"/>
          <w:b/>
          <w:i w:val="0"/>
          <w:color w:val="2563EB"/>
          <w:sz w:val="26"/>
        </w:rPr>
        <w:t>第六次调研：把候选抗菌肽放进真实羊场</w:t>
      </w:r>
    </w:p>
    <w:p w14:paraId="476F2FA0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概述</w:t>
      </w:r>
    </w:p>
    <w:p w14:paraId="7B3B0FD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2026 年 4 月 20 日，AMPlify 团队前往杨陵揉谷镇除张村羊场，与羊场人员张伟进行实地访谈。这一站是项目主线中的关键利益相关者调研：它让我们从“动物感染和抗生素替代”这一宏观问题，进一步走进真实羊场的疾病防控、用药限制、经济压力和食品安全要求。</w:t>
      </w:r>
    </w:p>
    <w:p w14:paraId="0DA331A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羊场约有 300 只羊，其中约 130 只为泌乳母羊。与宠物端相比，羊场更直接连接食品生产、群体化管理和乡村产业。乳房炎在该场并非高发病，但一旦出现会造成泌乳能力损失；链球菌相关疾病和其他感染风险则提示我们，生产动物场景中的抗菌需求往往不是单一病原问题，而是预防、治疗、经济损失和合规安全共同作用的系统问题。</w:t>
      </w:r>
    </w:p>
    <w:p w14:paraId="52E9BC32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因此，这一站在 AMPlify 主线中的位置，是把项目从“候选抗菌肽能不能杀菌”推进到“候选抗菌肽是否可能符合一线养殖约束”。它帮助我们把故事讲得更具体：AI 生成的候选肽只有在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满足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广谱性、安全性、给药便利性、成本、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相关法律法规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这些现实条件下，才可能进入未来应用讨论。</w:t>
      </w:r>
    </w:p>
    <w:p w14:paraId="6D6330DE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Human Practices 摘要卡片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DC971E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FC961F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22"/>
              </w:rPr>
              <w:t>从动物健康需求走向真实羊场约束</w:t>
            </w:r>
          </w:p>
        </w:tc>
      </w:tr>
      <w:tr w14:paraId="746C644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4C9391F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我们联系了谁：</w:t>
            </w:r>
          </w:p>
          <w:p w14:paraId="03CCD6A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杨陵揉谷镇除张村羊场人员张伟。羊场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内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约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有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 xml:space="preserve"> 300 只羊，其中约 130 只为泌乳母羊，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属于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村集体经济项目。</w:t>
            </w:r>
          </w:p>
        </w:tc>
      </w:tr>
      <w:tr w14:paraId="1F00749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1DD7111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为什么：</w:t>
            </w:r>
          </w:p>
          <w:p w14:paraId="777FCC9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我们需要理解：在禁抗、食品安全和规模化管理限制下，养殖端真正需要什么样的抗菌替代方案？</w:t>
            </w:r>
          </w:p>
        </w:tc>
      </w:tr>
      <w:tr w14:paraId="3ED025D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A66C55C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我们学到了什么：</w:t>
            </w:r>
          </w:p>
          <w:p w14:paraId="6B66619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羊场以预防为主。乳房炎频率不高但损失明显，混合感染风险使一线更重视广谱、低损伤、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给药便利性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和成本可控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性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。</w:t>
            </w:r>
          </w:p>
        </w:tc>
      </w:tr>
      <w:tr w14:paraId="36950E6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21A113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我们如何修改项目：</w:t>
            </w:r>
          </w:p>
          <w:p w14:paraId="496F6E8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主线从“设计候选抗菌肽”推进为“候选肽必须面对真实养殖约束”。</w:t>
            </w:r>
          </w:p>
        </w:tc>
      </w:tr>
    </w:tbl>
    <w:p w14:paraId="4CE22407"/>
    <w:p w14:paraId="07D4E353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故事主线：为什么羊场是项目转向的关键一站？</w:t>
      </w:r>
    </w:p>
    <w:p w14:paraId="163BD73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前几轮 HP 帮助 AMPlify 逐步校正问题：宠物端让我们看到日常照护和公众认知的复杂性，实验室访谈让我们意识到候选肽必须有证据链支撑；而羊场调研则把项目带入了一个更清晰的应用背景。这里的感染问题不只关乎一只动物是否治好，还关乎泌乳能力、羊奶检测、停奶期、群体防控和养殖户是否愿意承担新技术风险。</w:t>
      </w:r>
    </w:p>
    <w:p w14:paraId="0A80CCED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张伟的反馈让我们认识到，养殖端并不会因为一个技术概念新颖就接受它。一线人员首先关心的是能否真正有效、是否影响羊体健康和羊奶质量、能否降低治疗和人工成本、是否适合群体化管理。他更倾向广谱型抗菌肽，因为羊群可能同时暴露于多种病原，实际养殖中也很难每次先完成专业病原检测再选择特异性产品。</w:t>
      </w:r>
    </w:p>
    <w:p w14:paraId="19D3BB1F">
      <w:pPr>
        <w:spacing w:before="120" w:after="60" w:line="240" w:lineRule="auto"/>
        <w:jc w:val="center"/>
      </w:pPr>
      <w:r>
        <w:drawing>
          <wp:inline distT="0" distB="0" distL="114300" distR="114300">
            <wp:extent cx="4480560" cy="3358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5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B3AB">
      <w:pPr>
        <w:spacing w:before="0" w:after="160" w:line="252" w:lineRule="auto"/>
        <w:jc w:val="center"/>
      </w:pPr>
      <w:r>
        <w:rPr>
          <w:rFonts w:ascii="Calibri" w:hAnsi="Calibri" w:eastAsia="微软雅黑"/>
          <w:b w:val="0"/>
          <w:i w:val="0"/>
          <w:color w:val="505869"/>
          <w:sz w:val="17"/>
        </w:rPr>
        <w:t>图 1. AMPlify 团队在除张村羊场听取负责人介绍羊舍管理和疾病防控情况。</w:t>
      </w:r>
    </w:p>
    <w:p w14:paraId="4191E664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这次调研如何推进项目主线？</w:t>
      </w:r>
    </w:p>
    <w:p w14:paraId="3ADACB53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它让 AMPlify 的应用背景从泛泛的“动物健康”具体到“泌乳羊场、羊奶安全和群体化防控”。</w:t>
      </w:r>
    </w:p>
    <w:p w14:paraId="4C0443C9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它解释了为什么广谱性在项目故事中重要：一线场景中病原复杂，单一靶向方案可能难以覆盖混合感染和交叉传播。</w:t>
      </w:r>
    </w:p>
    <w:p w14:paraId="6998F5FD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它让“给药方式”进入项目叙事：拌料比逐只打针或灌服更适合规模化管理，也更符合预防大于治疗的养殖逻辑。</w:t>
      </w:r>
    </w:p>
    <w:p w14:paraId="7B9CB2F3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它补强了 One Health 连接：羊病防控会影响动物福利、养殖收益、食品安全、抗生素残留和人畜共患病风险。</w:t>
      </w:r>
    </w:p>
    <w:p w14:paraId="2F21D0D9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它提醒我们谨慎表达 AI 设计成果：养殖户真正信任的是实证效果、专家推荐和监管认可，而不是模型分数本身。</w:t>
      </w:r>
    </w:p>
    <w:p w14:paraId="6D38FD0F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放进主线时应如何描述？</w:t>
      </w:r>
    </w:p>
    <w:p w14:paraId="4B17CD4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这一站适合放在宠物端和实验室路线之后，作为 AMPlify 进入生产动物场景的转折。前面的调研回答“动物感染问题是否真实存在”，羊场调研进一步回答“真实养殖端会如何判断一个替代方案是否值得使用”。这样，主线就从需求识别自然推进到设计约束：广谱性、安全性、成本、给药便利性和实证可信度。</w:t>
      </w:r>
    </w:p>
    <w:p w14:paraId="48B51B0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在 Wiki 中可以将这一站写成一句清晰转折：当我们走进羊场后，AMPlify 不再只是一个 AI 生成抗菌肽项目，而是一个必须回应一线养殖管理、食品安全和技术信任的候选方案评估框架。</w:t>
      </w:r>
    </w:p>
    <w:p w14:paraId="2068364B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仍需谨慎说明的内容</w:t>
      </w:r>
    </w:p>
    <w:p w14:paraId="03D8EB00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本轮调研提供的是一线养殖场景和利益相关者需求，不能替代临床或田间试验数据。文档中应避免宣称 AMPlify 候选肽已经能够用于羊乳房炎、链球菌病或其他羊场疾病治疗；更稳妥的表达是：这次调研帮助我们明确未来应用必须满足的现实条件，并使项目主线从模型候选走向证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color w:val="0F172A"/>
          <w:sz w:val="21"/>
        </w:rPr>
        <w:t>据边界清晰的动物健康场景。</w:t>
      </w:r>
    </w:p>
    <w:sectPr>
      <w:headerReference r:id="rId5" w:type="default"/>
      <w:footerReference r:id="rId6" w:type="default"/>
      <w:pgSz w:w="12240" w:h="15840"/>
      <w:pgMar w:top="1080" w:right="1181" w:bottom="1080" w:left="1181" w:header="173" w:footer="17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2543">
    <w:pPr>
      <w:spacing w:after="0"/>
      <w:jc w:val="center"/>
    </w:pPr>
    <w:r>
      <w:drawing>
        <wp:inline distT="0" distB="0" distL="114300" distR="114300">
          <wp:extent cx="1115060" cy="438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38F5"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81988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223E47A9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4" w:lineRule="auto"/>
    </w:pPr>
    <w:rPr>
      <w:rFonts w:ascii="Calibri" w:hAnsi="Calibri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64" w:lineRule="auto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4" w:lineRule="auto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60" w:line="269" w:lineRule="auto"/>
      <w:contextualSpacing/>
    </w:pPr>
    <w:rPr>
      <w:rFonts w:ascii="Calibri" w:hAnsi="Calibri" w:eastAsia="微软雅黑"/>
      <w:color w:val="0F172A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1562</Words>
  <Characters>1661</Characters>
  <Lines>486</Lines>
  <Paragraphs>348</Paragraphs>
  <TotalTime>13</TotalTime>
  <ScaleCrop>false</ScaleCrop>
  <LinksUpToDate>false</LinksUpToDate>
  <CharactersWithSpaces>1704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2026-06-11T02:57:00Z</dcterms:created>
  <dc:creator>OpenAI</dc:creator>
  <dc:description>generated by python-docx</dc:description>
  <cp:keywords>TEM, antimicrobial peptide, bacteria, E. coli, S. aureus, ultrastructure</cp:keywords>
  <cp:lastModifiedBy>王宏祥</cp:lastModifiedBy>
  <dcterms:modified xsi:type="dcterms:W3CDTF">2026-06-14T09:59:31Z</dcterms:modified>
  <dc:subject>TEM protocol for antimicrobial peptide-treated bacteria</dc:subject>
  <dc:title>Transmission Electron Microscopy Assay for Bacterial Ultrastructure after Antimicrobial Peptide Treatment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981FCA0294A29D628AE3236ACB573746_42</vt:lpwstr>
  </property>
  <property fmtid="{D5CDD505-2E9C-101B-9397-08002B2CF9AE}" pid="4" name="KSOTemplateDocerSaveRecord">
    <vt:lpwstr>eyJoZGlkIjoiNjY5YjE2NzIxZDljNzc1YzQ4NzY3MjlmMTg2MTRhNWMiLCJ1c2VySWQiOiIxNzM4NDk4NjQ5In0=</vt:lpwstr>
  </property>
</Properties>
</file>