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07110">
      <w:pPr>
        <w:spacing w:before="480" w:after="80" w:line="240" w:lineRule="auto"/>
        <w:jc w:val="center"/>
      </w:pPr>
      <w:r>
        <w:rPr>
          <w:rFonts w:ascii="Calibri" w:hAnsi="Calibri" w:eastAsia="微软雅黑"/>
          <w:b/>
          <w:i w:val="0"/>
          <w:color w:val="0F172A"/>
          <w:sz w:val="42"/>
        </w:rPr>
        <w:t>Human Practices</w:t>
      </w:r>
    </w:p>
    <w:p w14:paraId="0241564E">
      <w:pPr>
        <w:spacing w:before="0" w:after="360" w:line="240" w:lineRule="auto"/>
        <w:jc w:val="center"/>
      </w:pPr>
      <w:r>
        <w:rPr>
          <w:rFonts w:ascii="Calibri" w:hAnsi="Calibri" w:eastAsia="微软雅黑"/>
          <w:b/>
          <w:i w:val="0"/>
          <w:color w:val="2563EB"/>
          <w:sz w:val="26"/>
        </w:rPr>
        <w:t>第七次调研：从规模羊场走向散养户</w:t>
      </w:r>
    </w:p>
    <w:p w14:paraId="45F3EA16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概述</w:t>
      </w:r>
    </w:p>
    <w:p w14:paraId="58C6E80B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2026 年 5 月 1 日，AMPlify 团队前往乡村散养羊户进行访谈，受访者同时具有基层执业兽医和散养户经验。这一站延续了前一轮规模羊场调研，但场景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从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相对组织化的羊场进入更分散、更依赖个人经验和低成本管理的散养环境。</w:t>
      </w:r>
    </w:p>
    <w:p w14:paraId="279A7298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受访者认为，散养模式与规模化羊场的核心差异在于空间密度、通风环境、成本结构和疫病传播方式。散养户更依赖疫苗、日常观察和经验性处理来维持羊群健康；而一旦发生急性传染病或人畜共患病风险，基层处置往往高度依赖兽医经验与快速判断。</w:t>
      </w:r>
    </w:p>
    <w:p w14:paraId="30BAF5BE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这次调研让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AMPlify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项目主线进一步收紧：我们的候选肽必须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放到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真实语境中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去寻找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证据支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撑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，避免被描述成可以替代疫苗或解决所有感染问题的“万能方案”。</w:t>
      </w:r>
    </w:p>
    <w:p w14:paraId="057C7526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Human Practices 摘要卡片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78552B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B6152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22"/>
              </w:rPr>
              <w:t>从规模羊场走向散养户：把主线推进到基层证据边界</w:t>
            </w:r>
          </w:p>
        </w:tc>
      </w:tr>
      <w:tr w14:paraId="07CFEA1A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8AE865A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我们联系了谁：</w:t>
            </w:r>
          </w:p>
          <w:p w14:paraId="1ACB70E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基层执业兽医与散养户。他既长期从事基层诊疗，也熟悉散养羊日常管理。</w:t>
            </w:r>
          </w:p>
        </w:tc>
      </w:tr>
      <w:tr w14:paraId="32B9B386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F9BF890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为什么：</w:t>
            </w:r>
          </w:p>
          <w:p w14:paraId="2185EA0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规模羊场调研后，我们需要确认：在更分散、更依赖经验判断的散养场景中，项目需求是否仍然成立。</w:t>
            </w:r>
          </w:p>
        </w:tc>
      </w:tr>
      <w:tr w14:paraId="21A61FE6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A5F346D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我们学到了什么：</w:t>
            </w:r>
          </w:p>
          <w:p w14:paraId="0BEE8FB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散养户重视疫苗、通风和预防；他们认可乳腺炎根源是细菌感染，但对抗菌肽这类“高科技”方案保持审慎。</w:t>
            </w:r>
          </w:p>
        </w:tc>
      </w:tr>
      <w:tr w14:paraId="1702A24A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EA1450A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我们如何修改项目：</w:t>
            </w:r>
          </w:p>
          <w:p w14:paraId="00AA20E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主线加入“基层可理解性”和“实验验证边界”：不能把抗菌肽说成万能替代品。</w:t>
            </w:r>
          </w:p>
        </w:tc>
      </w:tr>
    </w:tbl>
    <w:p w14:paraId="361D5D77"/>
    <w:p w14:paraId="76D72E92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故事主线：为什么散养户让项目更谨慎？</w:t>
      </w:r>
    </w:p>
    <w:p w14:paraId="6FB2ECBB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如果说 4 月 20 日的羊场调研让 AMPlify 看到生产动物场景中的经济压力、给药便利性和食品安全约束，那么 5 月 1 日的散养户访谈则进一步提醒我们：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一线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基层并不会因为一个技术概念新颖就自然接受它。一线养殖者首先关心的是能不能解决问题、会不会带来风险、是否会影响产奶和羊群健康，以及这个方案与疫苗、抗生素和日常预防之间到底是什么关系。</w:t>
      </w:r>
    </w:p>
    <w:p w14:paraId="0738A667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当我们介绍抗菌肽时，受访者提出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了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质疑：如果这类方案真的足够有效，是否意味着疫苗都不需要了？这个问题迫使我们重新审视表达方式。AMPlify 不能把抗菌肽叙述为替代所有防控手段的产品，而应把它放在明确适应场景和实验验证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的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边界内：它是针对细菌感染问题的候选抗菌策略，不是对所有传染病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治疗方案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、疫苗或养殖管理的替代。</w:t>
      </w:r>
    </w:p>
    <w:p w14:paraId="0BA8D843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同时，访谈也确认了项目靶点的现实基础。受访者认为，母羊乳腺炎的最终根源仍然与细菌感染相关：外界挤压或伤口可能只是入口，真正导致感染的是细菌进入乳腺组织。这一判断支持了 AMPlify 继续围绕抗菌机制构建项目故事，但也要求我们把“机制合理”与“真实有效”区分开来。前者是项目成立的逻辑起点，后者必须由实验和更严格的验证来证明。</w:t>
      </w:r>
    </w:p>
    <w:p w14:paraId="3BACB1A3">
      <w:pPr>
        <w:spacing w:before="120" w:after="60" w:line="240" w:lineRule="auto"/>
        <w:jc w:val="center"/>
      </w:pPr>
      <w:r>
        <w:drawing>
          <wp:inline distT="0" distB="0" distL="114300" distR="114300">
            <wp:extent cx="3246120" cy="43287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3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C359">
      <w:pPr>
        <w:spacing w:before="0" w:after="160" w:line="252" w:lineRule="auto"/>
        <w:jc w:val="center"/>
      </w:pPr>
      <w:r>
        <w:rPr>
          <w:rFonts w:ascii="Calibri" w:hAnsi="Calibri" w:eastAsia="微软雅黑"/>
          <w:b w:val="0"/>
          <w:i w:val="0"/>
          <w:color w:val="505869"/>
          <w:sz w:val="17"/>
        </w:rPr>
        <w:t>图 1. 散养羊户的现场养殖环境。该场景帮助团队理解基层散养模式下的疾病防控和技术接受条件。</w:t>
      </w:r>
    </w:p>
    <w:p w14:paraId="02B65E76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这次调研如何推进项目主线？</w:t>
      </w:r>
    </w:p>
    <w:p w14:paraId="664093AB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它把 AMPlify 的养殖端场景从规模羊场扩展到散养户，使主线覆盖更真实的基层使用环境。</w:t>
      </w:r>
    </w:p>
    <w:p w14:paraId="66BFAAA7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它确认了乳腺炎与细菌感染之间的现实关联，但也提醒我们不能把机制推断直接写成治疗效果。</w:t>
      </w:r>
    </w:p>
    <w:p w14:paraId="3A51FDF9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它让项目叙事加入“技术接受度”：基层受访者未必了解抗菌肽，因此我们需要用更朴素、准确的语言解释项目。</w:t>
      </w:r>
    </w:p>
    <w:p w14:paraId="5D05BB18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它强化了证据边界：抗菌肽不能被表述为疫苗、抗生素和养殖管理的整体替代品。</w:t>
      </w:r>
    </w:p>
    <w:p w14:paraId="6097B35E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它补强了 One Health 视角：基层兽医提到炭疽、布病等人畜共患病风险，说明动物疾病防控与公共卫生、养殖者安全和食品安全紧密相连。</w:t>
      </w:r>
    </w:p>
    <w:p w14:paraId="61F98417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放进主线时应如何描述？</w:t>
      </w:r>
    </w:p>
    <w:p w14:paraId="05F62E2F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这一站适合放在规模羊场调研之后，作为 AMPlify 从“生产动物应用约束”进一步走向“基层证据边界和沟通方式”的节点。前一站让我们知道候选肽必须面对成本、给药、广谱性和食品安全；这一站则进一步告诉我们，项目还必须面对基层用户的质疑：为什么要相信它？它和已有防控手段是什么关系？它的效果由什么证据支撑？</w:t>
      </w:r>
    </w:p>
    <w:p w14:paraId="444F48A8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在 Wiki 中可以将这一站写成一句清晰转折：当 AMPlify 走进散养户，我们意识到一个好模型或一个好机制并不足以让一线接受新方案；只有把抗菌肽放在明确的疾病场景、实验验证和风险边界中，它才可能成为负责任的候选方案。</w:t>
      </w:r>
    </w:p>
    <w:p w14:paraId="5B941B42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仍需谨慎说明的内容</w:t>
      </w:r>
    </w:p>
    <w:p w14:paraId="2EE07E63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本轮调研提供的是基层经验和利益相关者观点，不能替代流行病学调查、临床试验或田间试验数据。受访者提到的发病率、耐药性、抗生素过敏风险和传染病案例，应作为场景理解和风险提示，而不能作为项目有效性的直接证据。</w:t>
      </w:r>
    </w:p>
    <w:p w14:paraId="45A67E62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文档中应避免宣称 AMPlify 候选肽已经能够治疗母羊乳腺炎、炭疽、布病或其他散养羊疾病；更稳妥的表达是：这次调研帮助我们确认了基层场景中对安全、有效、低耐药风险和可解释技术的需求，也促使项目主线从“提出候选方案”推进到“明确验证边界”。</w:t>
      </w:r>
    </w:p>
    <w:sectPr>
      <w:headerReference r:id="rId5" w:type="default"/>
      <w:footerReference r:id="rId6" w:type="default"/>
      <w:pgSz w:w="12240" w:h="15840"/>
      <w:pgMar w:top="1080" w:right="1181" w:bottom="1080" w:left="1181" w:header="173" w:footer="17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E2543">
    <w:pPr>
      <w:spacing w:after="0"/>
      <w:jc w:val="center"/>
    </w:pPr>
    <w:r>
      <w:drawing>
        <wp:inline distT="0" distB="0" distL="114300" distR="114300">
          <wp:extent cx="1115060" cy="4381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838F5"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081988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2A44"/>
    <w:rsid w:val="002827FA"/>
    <w:rsid w:val="0029639D"/>
    <w:rsid w:val="002F0666"/>
    <w:rsid w:val="00326F90"/>
    <w:rsid w:val="0047278C"/>
    <w:rsid w:val="006147DC"/>
    <w:rsid w:val="007F6D19"/>
    <w:rsid w:val="00AA1D8D"/>
    <w:rsid w:val="00B47730"/>
    <w:rsid w:val="00BF6AE5"/>
    <w:rsid w:val="00CB0664"/>
    <w:rsid w:val="00F522F0"/>
    <w:rsid w:val="00FC693F"/>
    <w:rsid w:val="43773ED3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4" w:lineRule="auto"/>
    </w:pPr>
    <w:rPr>
      <w:rFonts w:ascii="Calibri" w:hAnsi="Calibri" w:eastAsia="微软雅黑" w:cstheme="minorBidi"/>
      <w:color w:val="0F17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264" w:lineRule="auto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64" w:lineRule="auto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60" w:line="269" w:lineRule="auto"/>
      <w:contextualSpacing/>
    </w:pPr>
    <w:rPr>
      <w:rFonts w:ascii="Calibri" w:hAnsi="Calibri" w:eastAsia="微软雅黑"/>
      <w:color w:val="0F172A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1802</Words>
  <Characters>1895</Characters>
  <Lines>486</Lines>
  <Paragraphs>348</Paragraphs>
  <TotalTime>18</TotalTime>
  <ScaleCrop>false</ScaleCrop>
  <LinksUpToDate>false</LinksUpToDate>
  <CharactersWithSpaces>1934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2026-06-11T02:57:00Z</dcterms:created>
  <dc:creator>OpenAI</dc:creator>
  <dc:description>generated by python-docx</dc:description>
  <cp:keywords>TEM, antimicrobial peptide, bacteria, E. coli, S. aureus, ultrastructure</cp:keywords>
  <cp:lastModifiedBy>王宏祥</cp:lastModifiedBy>
  <dcterms:modified xsi:type="dcterms:W3CDTF">2026-06-14T10:19:01Z</dcterms:modified>
  <dc:subject>TEM protocol for antimicrobial peptide-treated bacteria</dc:subject>
  <dc:title>Transmission Electron Microscopy Assay for Bacterial Ultrastructure after Antimicrobial Peptide Treatment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981FCA0294A29D628AE3236ACB573746_42</vt:lpwstr>
  </property>
  <property fmtid="{D5CDD505-2E9C-101B-9397-08002B2CF9AE}" pid="4" name="KSOTemplateDocerSaveRecord">
    <vt:lpwstr>eyJoZGlkIjoiNjY5YjE2NzIxZDljNzc1YzQ4NzY3MjlmMTg2MTRhNWMiLCJ1c2VySWQiOiIxNzM4NDk4NjQ5In0=</vt:lpwstr>
  </property>
</Properties>
</file>