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3FD2E">
      <w:pPr>
        <w:spacing w:before="0" w:after="20" w:line="240" w:lineRule="auto"/>
        <w:jc w:val="center"/>
      </w:pPr>
      <w:r>
        <w:rPr>
          <w:rFonts w:ascii="Calibri" w:hAnsi="Calibri" w:eastAsia="微软雅黑"/>
          <w:b/>
          <w:i w:val="0"/>
          <w:color w:val="0F172A"/>
          <w:sz w:val="44"/>
        </w:rPr>
        <w:t>Human Practices</w:t>
      </w:r>
    </w:p>
    <w:p w14:paraId="5EC82BB8">
      <w:pPr>
        <w:spacing w:before="0" w:after="240" w:line="254" w:lineRule="auto"/>
        <w:jc w:val="center"/>
      </w:pPr>
      <w:r>
        <w:rPr>
          <w:rFonts w:ascii="Calibri" w:hAnsi="Calibri" w:eastAsia="微软雅黑"/>
          <w:b/>
          <w:i w:val="0"/>
          <w:color w:val="2563EB"/>
          <w:sz w:val="26"/>
        </w:rPr>
        <w:t>东北地区交流会：把多轮调研整理成清晰可审查的项目主线</w:t>
      </w:r>
    </w:p>
    <w:p w14:paraId="2938E3D8">
      <w:pPr>
        <w:pStyle w:val="3"/>
        <w:keepNext/>
        <w:spacing w:before="260" w:after="100" w:line="264" w:lineRule="auto"/>
      </w:pPr>
      <w:r>
        <w:rPr>
          <w:rFonts w:ascii="Calibri" w:hAnsi="Calibri" w:eastAsia="微软雅黑"/>
          <w:b/>
          <w:i w:val="0"/>
          <w:color w:val="0F172A"/>
          <w:sz w:val="32"/>
        </w:rPr>
        <w:t>概述</w:t>
      </w:r>
    </w:p>
    <w:p w14:paraId="0D7EACAC">
      <w:pPr>
        <w:spacing w:before="0" w:after="120" w:line="274" w:lineRule="auto"/>
      </w:pPr>
      <w:r>
        <w:rPr>
          <w:rFonts w:ascii="Calibri" w:hAnsi="Calibri" w:eastAsia="微软雅黑"/>
          <w:b w:val="0"/>
          <w:i w:val="0"/>
          <w:color w:val="0F172A"/>
          <w:sz w:val="21"/>
        </w:rPr>
        <w:t>2026 年 5 月 2 日，AMPlify 团队参加了由吉林大学举办的 iGEM 东北地区交流会。这一时间点非常关键：在此之前，我们已经进行了宠物医院、家畜生物学实验室、教师访谈、猫咪驿站、羊场和村民调研，逐渐从“动物感染”走向“动物健康、抗生素使用、环境风险与 AI 候选肽筛选”的主线。</w:t>
      </w:r>
    </w:p>
    <w:p w14:paraId="14C9F303">
      <w:pPr>
        <w:spacing w:before="0" w:after="120" w:line="274" w:lineRule="auto"/>
      </w:pPr>
      <w:r>
        <w:rPr>
          <w:rFonts w:ascii="Calibri" w:hAnsi="Calibri" w:eastAsia="微软雅黑"/>
          <w:b w:val="0"/>
          <w:i w:val="0"/>
          <w:color w:val="0F172A"/>
          <w:sz w:val="21"/>
        </w:rPr>
        <w:t>但材料越多，越容易出现另一个问题：HP 变成活动列表，Education 变成活动数量，Wiki 和答辩变成各组分别准备的材料。东北地区交流会没有直接改变我们的干实验或湿实验方案，却让我们重新理解如何把已有工作讲成一个完整、清楚、可被评委审查的 iGEM 项目故事。</w:t>
      </w:r>
    </w:p>
    <w:p w14:paraId="31504039">
      <w:pPr>
        <w:spacing w:before="0" w:after="120" w:line="274" w:lineRule="auto"/>
      </w:pPr>
      <w:r>
        <w:rPr>
          <w:rFonts w:ascii="Calibri" w:hAnsi="Calibri" w:eastAsia="微软雅黑"/>
          <w:b w:val="0"/>
          <w:i w:val="0"/>
          <w:color w:val="0F172A"/>
          <w:sz w:val="21"/>
        </w:rPr>
        <w:t>因此，这次交流会在最终 HP 页面中应被放在“主线校准”的位置。它承接早期真实场景调研，推动我们把后续 HP 写作改为：先给出概述和摘要卡片，再说明这次工作位于时间线何处、学到了什么、项目表达或设计因此如何改变。</w:t>
      </w:r>
    </w:p>
    <w:p w14:paraId="307C64DB">
      <w:pPr>
        <w:pStyle w:val="3"/>
        <w:keepNext/>
        <w:spacing w:before="260" w:after="100" w:line="264" w:lineRule="auto"/>
      </w:pPr>
      <w:r>
        <w:rPr>
          <w:rFonts w:ascii="Calibri" w:hAnsi="Calibri" w:eastAsia="微软雅黑"/>
          <w:b/>
          <w:i w:val="0"/>
          <w:color w:val="0F172A"/>
          <w:sz w:val="32"/>
        </w:rPr>
        <w:t>Human Practices 摘要卡片</w:t>
      </w:r>
    </w:p>
    <w:tbl>
      <w:tblPr>
        <w:tblStyle w:val="32"/>
        <w:tblW w:w="9360" w:type="dxa"/>
        <w:tblInd w:w="120" w:type="dxa"/>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Layout w:type="fixed"/>
        <w:tblCellMar>
          <w:top w:w="0" w:type="dxa"/>
          <w:left w:w="108" w:type="dxa"/>
          <w:bottom w:w="0" w:type="dxa"/>
          <w:right w:w="108" w:type="dxa"/>
        </w:tblCellMar>
      </w:tblPr>
      <w:tblGrid>
        <w:gridCol w:w="9360"/>
      </w:tblGrid>
      <w:tr w14:paraId="6F4B8C1C">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shd w:val="clear" w:color="auto" w:fill="EAF2FF"/>
            <w:tcMar>
              <w:top w:w="95" w:type="dxa"/>
              <w:left w:w="120" w:type="dxa"/>
              <w:bottom w:w="95" w:type="dxa"/>
              <w:right w:w="120" w:type="dxa"/>
            </w:tcMar>
            <w:vAlign w:val="center"/>
          </w:tcPr>
          <w:p w14:paraId="4F80DBC8">
            <w:pPr>
              <w:spacing w:before="0" w:after="0" w:line="264" w:lineRule="auto"/>
            </w:pPr>
            <w:r>
              <w:rPr>
                <w:rFonts w:ascii="Calibri" w:hAnsi="Calibri" w:eastAsia="微软雅黑"/>
                <w:b/>
                <w:i w:val="0"/>
                <w:color w:val="2563EB"/>
                <w:sz w:val="22"/>
              </w:rPr>
              <w:t>Discussions at the Northeast iGEM Regional Exchange</w:t>
            </w:r>
          </w:p>
        </w:tc>
      </w:tr>
      <w:tr w14:paraId="7735F5C4">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95" w:type="dxa"/>
              <w:left w:w="120" w:type="dxa"/>
              <w:bottom w:w="95" w:type="dxa"/>
              <w:right w:w="120" w:type="dxa"/>
            </w:tcMar>
            <w:vAlign w:val="center"/>
          </w:tcPr>
          <w:p w14:paraId="20A6C4F7">
            <w:pPr>
              <w:spacing w:before="0" w:after="0" w:line="269" w:lineRule="auto"/>
            </w:pPr>
            <w:r>
              <w:rPr>
                <w:rFonts w:ascii="Calibri" w:hAnsi="Calibri" w:eastAsia="微软雅黑"/>
                <w:b/>
                <w:i w:val="0"/>
                <w:color w:val="0F172A"/>
                <w:sz w:val="18"/>
              </w:rPr>
              <w:t>我们接触了谁：</w:t>
            </w:r>
            <w:r>
              <w:rPr>
                <w:rFonts w:ascii="Calibri" w:hAnsi="Calibri" w:eastAsia="微软雅黑"/>
                <w:b w:val="0"/>
                <w:i w:val="0"/>
                <w:color w:val="0F172A"/>
                <w:sz w:val="18"/>
              </w:rPr>
              <w:t>2026 年 5 月 2 日，我们参加由吉林大学举办的 iGEM 东北地区交流会，与参会队伍、经验分享者和其他 iGEM 成员围绕项目展示、Human Practices、Education、Wiki 和答辩准备展开交流。</w:t>
            </w:r>
          </w:p>
        </w:tc>
      </w:tr>
      <w:tr w14:paraId="75AA91ED">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95" w:type="dxa"/>
              <w:left w:w="120" w:type="dxa"/>
              <w:bottom w:w="95" w:type="dxa"/>
              <w:right w:w="120" w:type="dxa"/>
            </w:tcMar>
            <w:vAlign w:val="center"/>
          </w:tcPr>
          <w:p w14:paraId="43A7A06A">
            <w:pPr>
              <w:spacing w:before="0" w:after="0" w:line="269" w:lineRule="auto"/>
            </w:pPr>
            <w:r>
              <w:rPr>
                <w:rFonts w:ascii="Calibri" w:hAnsi="Calibri" w:eastAsia="微软雅黑"/>
                <w:b/>
                <w:i w:val="0"/>
                <w:color w:val="0F172A"/>
                <w:sz w:val="18"/>
              </w:rPr>
              <w:t>为什么：</w:t>
            </w:r>
            <w:r>
              <w:rPr>
                <w:rFonts w:ascii="Calibri" w:hAnsi="Calibri" w:eastAsia="微软雅黑"/>
                <w:b w:val="0"/>
                <w:i w:val="0"/>
                <w:color w:val="0F172A"/>
                <w:sz w:val="18"/>
              </w:rPr>
              <w:t>在此之前，AMPlify 已经完成多轮真实场景调研，材料逐渐增多。我们希望判断这些工作是否能被整理成清楚的项目主线，而不是变成彼此分散的活动记录。</w:t>
            </w:r>
          </w:p>
        </w:tc>
      </w:tr>
      <w:tr w14:paraId="2532FA2F">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95" w:type="dxa"/>
              <w:left w:w="120" w:type="dxa"/>
              <w:bottom w:w="95" w:type="dxa"/>
              <w:right w:w="120" w:type="dxa"/>
            </w:tcMar>
            <w:vAlign w:val="center"/>
          </w:tcPr>
          <w:p w14:paraId="54436608">
            <w:pPr>
              <w:spacing w:before="0" w:after="0" w:line="269" w:lineRule="auto"/>
            </w:pPr>
            <w:r>
              <w:rPr>
                <w:rFonts w:ascii="Calibri" w:hAnsi="Calibri" w:eastAsia="微软雅黑"/>
                <w:b/>
                <w:i w:val="0"/>
                <w:color w:val="0F172A"/>
                <w:sz w:val="18"/>
              </w:rPr>
              <w:t>我们学到了什么：</w:t>
            </w:r>
            <w:r>
              <w:rPr>
                <w:rFonts w:ascii="Calibri" w:hAnsi="Calibri" w:eastAsia="微软雅黑"/>
                <w:b w:val="0"/>
                <w:i w:val="0"/>
                <w:color w:val="0F172A"/>
                <w:sz w:val="18"/>
              </w:rPr>
              <w:t>交流会提醒我们，高质量 HP 不取决于活动数量，而取决于能否说明 Stakeholder → Feedback → Action → Impact；Education 也不应堆数量，而要让受众真正理解问题；Wiki、海报和答辩需要共享同一条逻辑。</w:t>
            </w:r>
          </w:p>
        </w:tc>
      </w:tr>
      <w:tr w14:paraId="6E506977">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95" w:type="dxa"/>
              <w:left w:w="120" w:type="dxa"/>
              <w:bottom w:w="95" w:type="dxa"/>
              <w:right w:w="120" w:type="dxa"/>
            </w:tcMar>
            <w:vAlign w:val="center"/>
          </w:tcPr>
          <w:p w14:paraId="40056942">
            <w:pPr>
              <w:spacing w:before="0" w:after="0" w:line="269" w:lineRule="auto"/>
            </w:pPr>
            <w:r>
              <w:rPr>
                <w:rFonts w:ascii="Calibri" w:hAnsi="Calibri" w:eastAsia="微软雅黑"/>
                <w:b/>
                <w:i w:val="0"/>
                <w:color w:val="0F172A"/>
                <w:sz w:val="18"/>
              </w:rPr>
              <w:t>我们如何修改项目：</w:t>
            </w:r>
            <w:r>
              <w:rPr>
                <w:rFonts w:ascii="Calibri" w:hAnsi="Calibri" w:eastAsia="微软雅黑"/>
                <w:b w:val="0"/>
                <w:i w:val="0"/>
                <w:color w:val="0F172A"/>
                <w:sz w:val="18"/>
              </w:rPr>
              <w:t>会后，我们开始把 HP 写作重心放在概述、摘要卡片和故事主线；将 Education 从数量导向调整为互动质量导向；并要求每一次调研都写清它在主线中的位置，以及它如何改变项目表达或设计。</w:t>
            </w:r>
          </w:p>
        </w:tc>
      </w:tr>
      <w:tr w14:paraId="28987D44">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95" w:type="dxa"/>
              <w:left w:w="120" w:type="dxa"/>
              <w:bottom w:w="95" w:type="dxa"/>
              <w:right w:w="120" w:type="dxa"/>
            </w:tcMar>
            <w:vAlign w:val="center"/>
          </w:tcPr>
          <w:p w14:paraId="6248DE12">
            <w:pPr>
              <w:spacing w:before="0" w:after="0" w:line="269" w:lineRule="auto"/>
            </w:pPr>
            <w:r>
              <w:rPr>
                <w:rFonts w:ascii="Calibri" w:hAnsi="Calibri" w:eastAsia="微软雅黑"/>
                <w:b/>
                <w:i w:val="0"/>
                <w:color w:val="0F172A"/>
                <w:sz w:val="18"/>
              </w:rPr>
              <w:t>了解更多！</w:t>
            </w:r>
            <w:r>
              <w:rPr>
                <w:rFonts w:ascii="Calibri" w:hAnsi="Calibri" w:eastAsia="微软雅黑"/>
                <w:b w:val="0"/>
                <w:i w:val="0"/>
                <w:color w:val="0F172A"/>
                <w:sz w:val="18"/>
              </w:rPr>
              <w:t>下面的叙事部分说明这次交流会如何在时间线上连接早期调研和后续模型/实验展示，让 AMPlify 的 HP 从活动列表变成一条可审查的项目故事。</w:t>
            </w:r>
          </w:p>
        </w:tc>
      </w:tr>
    </w:tbl>
    <w:p w14:paraId="7A6831AC">
      <w:pPr>
        <w:spacing w:before="160" w:after="40" w:line="274" w:lineRule="auto"/>
        <w:jc w:val="center"/>
      </w:pPr>
      <w:r>
        <w:drawing>
          <wp:inline distT="0" distB="0" distL="114300" distR="114300">
            <wp:extent cx="5440680" cy="4080510"/>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40680" cy="4080510"/>
                    </a:xfrm>
                    <a:prstGeom prst="rect">
                      <a:avLst/>
                    </a:prstGeom>
                  </pic:spPr>
                </pic:pic>
              </a:graphicData>
            </a:graphic>
          </wp:inline>
        </w:drawing>
      </w:r>
    </w:p>
    <w:p w14:paraId="3BB479B7">
      <w:pPr>
        <w:spacing w:before="40" w:after="160" w:line="259" w:lineRule="auto"/>
        <w:jc w:val="center"/>
      </w:pPr>
      <w:r>
        <w:rPr>
          <w:rFonts w:ascii="Calibri" w:hAnsi="Calibri" w:eastAsia="微软雅黑"/>
          <w:b w:val="0"/>
          <w:i/>
          <w:color w:val="505869"/>
          <w:sz w:val="16"/>
        </w:rPr>
        <w:t>图 1. AMPlify 团队参加 2026 年 iGEM 东北地区交流会，与其他参会成员交流项目展示与 HP 经验。</w:t>
      </w:r>
    </w:p>
    <w:p w14:paraId="1667964B">
      <w:pPr>
        <w:pStyle w:val="3"/>
        <w:keepNext/>
        <w:spacing w:before="260" w:after="100" w:line="264" w:lineRule="auto"/>
      </w:pPr>
      <w:r>
        <w:rPr>
          <w:rFonts w:ascii="Calibri" w:hAnsi="Calibri" w:eastAsia="微软雅黑"/>
          <w:b/>
          <w:i w:val="0"/>
          <w:color w:val="0F172A"/>
          <w:sz w:val="32"/>
        </w:rPr>
        <w:t>为什么这次交流会来得正是时候？</w:t>
      </w:r>
    </w:p>
    <w:p w14:paraId="40E3EFED">
      <w:pPr>
        <w:spacing w:before="0" w:after="120" w:line="274" w:lineRule="auto"/>
      </w:pPr>
      <w:r>
        <w:rPr>
          <w:rFonts w:ascii="Calibri" w:hAnsi="Calibri" w:eastAsia="微软雅黑"/>
          <w:b w:val="0"/>
          <w:i w:val="0"/>
          <w:color w:val="0F172A"/>
          <w:sz w:val="21"/>
        </w:rPr>
        <w:t>如果把 AMPlify 的 HP 时间线展开，5 月 2 日是AMPlify</w:t>
      </w:r>
      <w:r>
        <w:rPr>
          <w:rFonts w:hint="eastAsia"/>
          <w:b w:val="0"/>
          <w:i w:val="0"/>
          <w:color w:val="0F172A"/>
          <w:sz w:val="21"/>
          <w:lang w:val="en-US" w:eastAsia="zh-CN"/>
        </w:rPr>
        <w:t>的</w:t>
      </w:r>
      <w:r>
        <w:rPr>
          <w:rFonts w:ascii="Calibri" w:hAnsi="Calibri" w:eastAsia="微软雅黑"/>
          <w:b w:val="0"/>
          <w:i w:val="0"/>
          <w:color w:val="0F172A"/>
          <w:sz w:val="21"/>
        </w:rPr>
        <w:t>一次阶段性整理。1 月的宠物医院调研帮助我们把“动物感染”放入真实诊疗场景；3 月的家畜生物学实验室调研让乳腺炎和耐药菌成为更具体的设计入口；4 月到 5 月初的养殖端与公众场景调研又让我们看到抗生素使用、残留、成本、认知和环境风险之间的关系。</w:t>
      </w:r>
    </w:p>
    <w:p w14:paraId="39F1B72A">
      <w:pPr>
        <w:spacing w:before="0" w:after="120" w:line="274" w:lineRule="auto"/>
      </w:pPr>
      <w:r>
        <w:rPr>
          <w:rFonts w:ascii="Calibri" w:hAnsi="Calibri" w:eastAsia="微软雅黑"/>
          <w:b w:val="0"/>
          <w:i w:val="0"/>
          <w:color w:val="0F172A"/>
          <w:sz w:val="21"/>
        </w:rPr>
        <w:t>这些调研本身都很有价值，但如果不经过整理，它们会像许多分散的证据。东北地区交流会提醒我们，iGEM 的 HP 不只是证明团队“去过很多地方”，而是要让读者看见每次交流如何改变项目。这个判断直接影响了我们后续所有 HP 文档的写法。</w:t>
      </w:r>
    </w:p>
    <w:p w14:paraId="75C2FA3E">
      <w:pPr>
        <w:pStyle w:val="3"/>
        <w:keepNext/>
        <w:spacing w:before="260" w:after="100" w:line="264" w:lineRule="auto"/>
      </w:pPr>
      <w:r>
        <w:rPr>
          <w:rFonts w:ascii="Calibri" w:hAnsi="Calibri" w:eastAsia="微软雅黑"/>
          <w:b/>
          <w:i w:val="0"/>
          <w:color w:val="0F172A"/>
          <w:sz w:val="32"/>
        </w:rPr>
        <w:t>我们从其他队伍那里学到了什么？</w:t>
      </w:r>
    </w:p>
    <w:p w14:paraId="416DE589">
      <w:pPr>
        <w:pStyle w:val="16"/>
        <w:spacing w:before="0" w:after="60" w:line="269" w:lineRule="auto"/>
      </w:pPr>
      <w:r>
        <w:rPr>
          <w:rFonts w:ascii="Calibri" w:hAnsi="Calibri" w:eastAsia="微软雅黑"/>
          <w:b w:val="0"/>
          <w:i w:val="0"/>
          <w:color w:val="0F172A"/>
          <w:sz w:val="20"/>
        </w:rPr>
        <w:t>HP 的重点是清楚的反馈闭环：谁影响了我们、他们提出了什么、我们改变了什么、这个改变如何回到项目。</w:t>
      </w:r>
    </w:p>
    <w:p w14:paraId="2396DD94">
      <w:pPr>
        <w:pStyle w:val="16"/>
        <w:spacing w:before="0" w:after="60" w:line="269" w:lineRule="auto"/>
      </w:pPr>
      <w:r>
        <w:rPr>
          <w:rFonts w:ascii="Calibri" w:hAnsi="Calibri" w:eastAsia="微软雅黑"/>
          <w:b w:val="0"/>
          <w:i w:val="0"/>
          <w:color w:val="0F172A"/>
          <w:sz w:val="20"/>
        </w:rPr>
        <w:t>Education 不应以数量取胜。更好的教育活动应当有明确受众、互动方式和反馈结果，使公众真正理解抗生素耐药、残留和环境风险。</w:t>
      </w:r>
    </w:p>
    <w:p w14:paraId="5F9EE96E">
      <w:pPr>
        <w:pStyle w:val="16"/>
        <w:spacing w:before="0" w:after="60" w:line="269" w:lineRule="auto"/>
      </w:pPr>
      <w:r>
        <w:rPr>
          <w:rFonts w:ascii="Calibri" w:hAnsi="Calibri" w:eastAsia="微软雅黑"/>
          <w:b w:val="0"/>
          <w:i w:val="0"/>
          <w:color w:val="0F172A"/>
          <w:sz w:val="20"/>
        </w:rPr>
        <w:t>Wiki、海报和答辩不能分开准备。它们应当共享同一条主线，让评委能从任一入口快速理解 AMPlify 的问题、证据和边界。</w:t>
      </w:r>
      <w:bookmarkStart w:id="0" w:name="_GoBack"/>
      <w:bookmarkEnd w:id="0"/>
    </w:p>
    <w:p w14:paraId="1B7A0484">
      <w:pPr>
        <w:pStyle w:val="16"/>
        <w:spacing w:before="0" w:after="60" w:line="269" w:lineRule="auto"/>
      </w:pPr>
      <w:r>
        <w:rPr>
          <w:rFonts w:ascii="Calibri" w:hAnsi="Calibri" w:eastAsia="微软雅黑"/>
          <w:b w:val="0"/>
          <w:i w:val="0"/>
          <w:color w:val="0F172A"/>
          <w:sz w:val="20"/>
        </w:rPr>
        <w:t>团队内部表达同样重要。一个好的项目不能只由某一个组讲清楚，Model、Wet Lab、HP、Safety 和 Education 都应能互相解释。</w:t>
      </w:r>
    </w:p>
    <w:p w14:paraId="1AD55C30">
      <w:pPr>
        <w:pStyle w:val="3"/>
        <w:keepNext/>
        <w:spacing w:before="260" w:after="100" w:line="264" w:lineRule="auto"/>
      </w:pPr>
      <w:r>
        <w:rPr>
          <w:rFonts w:ascii="Calibri" w:hAnsi="Calibri" w:eastAsia="微软雅黑"/>
          <w:b/>
          <w:i w:val="0"/>
          <w:color w:val="0F172A"/>
          <w:sz w:val="32"/>
        </w:rPr>
        <w:t>这次交流会如何改变 AMPlify 的主线表达？</w:t>
      </w:r>
    </w:p>
    <w:p w14:paraId="151385AE">
      <w:pPr>
        <w:spacing w:before="0" w:after="120" w:line="274" w:lineRule="auto"/>
      </w:pPr>
      <w:r>
        <w:rPr>
          <w:rFonts w:ascii="Calibri" w:hAnsi="Calibri" w:eastAsia="微软雅黑"/>
          <w:b w:val="0"/>
          <w:i w:val="0"/>
          <w:color w:val="0F172A"/>
          <w:sz w:val="21"/>
        </w:rPr>
        <w:t>会后，我们没有把这次活动写成“参加交流会并获得经验”。更重要的改变是：我们开始为每一轮 HP 找到它在主线中的位置。对于不直接改变干湿实验的利益相关者或交流活动，我们不再强行写技术循环，而是优先写概述、摘要卡片和故事主线；只有当反馈直接改变模型、湿实验、软件或证据链时，才写技术小循环。</w:t>
      </w:r>
    </w:p>
    <w:p w14:paraId="0808103C">
      <w:pPr>
        <w:spacing w:before="0" w:after="120" w:line="274" w:lineRule="auto"/>
      </w:pPr>
      <w:r>
        <w:rPr>
          <w:rFonts w:ascii="Calibri" w:hAnsi="Calibri" w:eastAsia="微软雅黑"/>
          <w:b w:val="0"/>
          <w:i w:val="0"/>
          <w:color w:val="0F172A"/>
          <w:sz w:val="21"/>
        </w:rPr>
        <w:t>这一调整让后续 HP 更接近 JU Krakow 页面中 conference discussion 的写法：先说明我们在会议上展示了什么、向谁收集反馈，再列出真正影响项目的问题或意见，最后说明项目因此作出了哪些取舍。它让交流会成为项目演进的一部分，而不是活动记录的堆叠。</w:t>
      </w:r>
    </w:p>
    <w:p w14:paraId="165C61E0">
      <w:pPr>
        <w:pStyle w:val="3"/>
        <w:keepNext/>
        <w:spacing w:before="260" w:after="100" w:line="264" w:lineRule="auto"/>
      </w:pPr>
      <w:r>
        <w:rPr>
          <w:rFonts w:ascii="Calibri" w:hAnsi="Calibri" w:eastAsia="微软雅黑"/>
          <w:b/>
          <w:i w:val="0"/>
          <w:color w:val="0F172A"/>
          <w:sz w:val="32"/>
        </w:rPr>
        <w:t>AMPlify 具体调整了什么？</w:t>
      </w:r>
    </w:p>
    <w:tbl>
      <w:tblPr>
        <w:tblStyle w:val="32"/>
        <w:tblW w:w="9360" w:type="dxa"/>
        <w:tblInd w:w="120" w:type="dxa"/>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Layout w:type="fixed"/>
        <w:tblCellMar>
          <w:top w:w="0" w:type="dxa"/>
          <w:left w:w="108" w:type="dxa"/>
          <w:bottom w:w="0" w:type="dxa"/>
          <w:right w:w="108" w:type="dxa"/>
        </w:tblCellMar>
      </w:tblPr>
      <w:tblGrid>
        <w:gridCol w:w="1900"/>
        <w:gridCol w:w="3550"/>
        <w:gridCol w:w="3910"/>
      </w:tblGrid>
      <w:tr w14:paraId="7D19CDF3">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rPr>
          <w:tblHeader/>
        </w:trPr>
        <w:tc>
          <w:tcPr>
            <w:tcW w:w="1900" w:type="dxa"/>
            <w:shd w:val="clear" w:color="auto" w:fill="EAF2FF"/>
            <w:tcMar>
              <w:top w:w="95" w:type="dxa"/>
              <w:left w:w="120" w:type="dxa"/>
              <w:bottom w:w="95" w:type="dxa"/>
              <w:right w:w="120" w:type="dxa"/>
            </w:tcMar>
            <w:vAlign w:val="center"/>
          </w:tcPr>
          <w:p w14:paraId="7B56178E">
            <w:pPr>
              <w:spacing w:before="0" w:after="0" w:line="264" w:lineRule="auto"/>
            </w:pPr>
            <w:r>
              <w:rPr>
                <w:rFonts w:ascii="Calibri" w:hAnsi="Calibri" w:eastAsia="微软雅黑"/>
                <w:b/>
                <w:i w:val="0"/>
                <w:color w:val="1E40AF"/>
                <w:sz w:val="18"/>
              </w:rPr>
              <w:t>模块</w:t>
            </w:r>
          </w:p>
        </w:tc>
        <w:tc>
          <w:tcPr>
            <w:tcW w:w="3550" w:type="dxa"/>
            <w:shd w:val="clear" w:color="auto" w:fill="EAF2FF"/>
            <w:tcMar>
              <w:top w:w="95" w:type="dxa"/>
              <w:left w:w="120" w:type="dxa"/>
              <w:bottom w:w="95" w:type="dxa"/>
              <w:right w:w="120" w:type="dxa"/>
            </w:tcMar>
            <w:vAlign w:val="center"/>
          </w:tcPr>
          <w:p w14:paraId="40E71076">
            <w:pPr>
              <w:spacing w:before="0" w:after="0" w:line="264" w:lineRule="auto"/>
            </w:pPr>
            <w:r>
              <w:rPr>
                <w:rFonts w:ascii="Calibri" w:hAnsi="Calibri" w:eastAsia="微软雅黑"/>
                <w:b/>
                <w:i w:val="0"/>
                <w:color w:val="1E40AF"/>
                <w:sz w:val="18"/>
              </w:rPr>
              <w:t>交流会前的风险</w:t>
            </w:r>
          </w:p>
        </w:tc>
        <w:tc>
          <w:tcPr>
            <w:tcW w:w="3910" w:type="dxa"/>
            <w:shd w:val="clear" w:color="auto" w:fill="EAF2FF"/>
            <w:tcMar>
              <w:top w:w="95" w:type="dxa"/>
              <w:left w:w="120" w:type="dxa"/>
              <w:bottom w:w="95" w:type="dxa"/>
              <w:right w:w="120" w:type="dxa"/>
            </w:tcMar>
            <w:vAlign w:val="center"/>
          </w:tcPr>
          <w:p w14:paraId="6D64EF6D">
            <w:pPr>
              <w:spacing w:before="0" w:after="0" w:line="264" w:lineRule="auto"/>
            </w:pPr>
            <w:r>
              <w:rPr>
                <w:rFonts w:ascii="Calibri" w:hAnsi="Calibri" w:eastAsia="微软雅黑"/>
                <w:b/>
                <w:i w:val="0"/>
                <w:color w:val="1E40AF"/>
                <w:sz w:val="18"/>
              </w:rPr>
              <w:t>交流会后的调整</w:t>
            </w:r>
          </w:p>
        </w:tc>
      </w:tr>
      <w:tr w14:paraId="5DBD8C4E">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rPr>
          <w:cantSplit/>
        </w:trPr>
        <w:tc>
          <w:tcPr>
            <w:tcW w:w="1900" w:type="dxa"/>
            <w:tcMar>
              <w:top w:w="95" w:type="dxa"/>
              <w:left w:w="120" w:type="dxa"/>
              <w:bottom w:w="95" w:type="dxa"/>
              <w:right w:w="120" w:type="dxa"/>
            </w:tcMar>
            <w:vAlign w:val="center"/>
          </w:tcPr>
          <w:p w14:paraId="3B51DCAA">
            <w:pPr>
              <w:spacing w:before="0" w:after="0" w:line="264" w:lineRule="auto"/>
            </w:pPr>
            <w:r>
              <w:rPr>
                <w:rFonts w:ascii="Calibri" w:hAnsi="Calibri" w:eastAsia="微软雅黑"/>
                <w:b w:val="0"/>
                <w:i w:val="0"/>
                <w:color w:val="0F172A"/>
                <w:sz w:val="17"/>
              </w:rPr>
              <w:t>HP 写法</w:t>
            </w:r>
          </w:p>
        </w:tc>
        <w:tc>
          <w:tcPr>
            <w:tcW w:w="3550" w:type="dxa"/>
            <w:tcMar>
              <w:top w:w="95" w:type="dxa"/>
              <w:left w:w="120" w:type="dxa"/>
              <w:bottom w:w="95" w:type="dxa"/>
              <w:right w:w="120" w:type="dxa"/>
            </w:tcMar>
            <w:vAlign w:val="center"/>
          </w:tcPr>
          <w:p w14:paraId="65A3BCF8">
            <w:pPr>
              <w:spacing w:before="0" w:after="0" w:line="264" w:lineRule="auto"/>
            </w:pPr>
            <w:r>
              <w:rPr>
                <w:rFonts w:ascii="Calibri" w:hAnsi="Calibri" w:eastAsia="微软雅黑"/>
                <w:b w:val="0"/>
                <w:i w:val="0"/>
                <w:color w:val="0F172A"/>
                <w:sz w:val="17"/>
              </w:rPr>
              <w:t>容易把每次采访写成独立总结，材料很多但主线不够明显。</w:t>
            </w:r>
          </w:p>
        </w:tc>
        <w:tc>
          <w:tcPr>
            <w:tcW w:w="3910" w:type="dxa"/>
            <w:tcMar>
              <w:top w:w="95" w:type="dxa"/>
              <w:left w:w="120" w:type="dxa"/>
              <w:bottom w:w="95" w:type="dxa"/>
              <w:right w:w="120" w:type="dxa"/>
            </w:tcMar>
            <w:vAlign w:val="center"/>
          </w:tcPr>
          <w:p w14:paraId="3201641D">
            <w:pPr>
              <w:spacing w:before="0" w:after="0" w:line="264" w:lineRule="auto"/>
            </w:pPr>
            <w:r>
              <w:rPr>
                <w:rFonts w:ascii="Calibri" w:hAnsi="Calibri" w:eastAsia="微软雅黑"/>
                <w:b w:val="0"/>
                <w:i w:val="0"/>
                <w:color w:val="0F172A"/>
                <w:sz w:val="17"/>
              </w:rPr>
              <w:t>默认采用“概述—摘要卡片—故事主线”结构，强调这次 HP 位于时间线哪里、推动了哪个项目判断。</w:t>
            </w:r>
          </w:p>
        </w:tc>
      </w:tr>
      <w:tr w14:paraId="5ADFCAB8">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rPr>
          <w:cantSplit/>
        </w:trPr>
        <w:tc>
          <w:tcPr>
            <w:tcW w:w="1900" w:type="dxa"/>
            <w:shd w:val="clear" w:color="auto" w:fill="F6F8FB"/>
            <w:tcMar>
              <w:top w:w="95" w:type="dxa"/>
              <w:left w:w="120" w:type="dxa"/>
              <w:bottom w:w="95" w:type="dxa"/>
              <w:right w:w="120" w:type="dxa"/>
            </w:tcMar>
            <w:vAlign w:val="center"/>
          </w:tcPr>
          <w:p w14:paraId="34C1384D">
            <w:pPr>
              <w:spacing w:before="0" w:after="0" w:line="264" w:lineRule="auto"/>
            </w:pPr>
            <w:r>
              <w:rPr>
                <w:rFonts w:ascii="Calibri" w:hAnsi="Calibri" w:eastAsia="微软雅黑"/>
                <w:b w:val="0"/>
                <w:i w:val="0"/>
                <w:color w:val="0F172A"/>
                <w:sz w:val="17"/>
              </w:rPr>
              <w:t>Education</w:t>
            </w:r>
          </w:p>
        </w:tc>
        <w:tc>
          <w:tcPr>
            <w:tcW w:w="3550" w:type="dxa"/>
            <w:shd w:val="clear" w:color="auto" w:fill="F6F8FB"/>
            <w:tcMar>
              <w:top w:w="95" w:type="dxa"/>
              <w:left w:w="120" w:type="dxa"/>
              <w:bottom w:w="95" w:type="dxa"/>
              <w:right w:w="120" w:type="dxa"/>
            </w:tcMar>
            <w:vAlign w:val="center"/>
          </w:tcPr>
          <w:p w14:paraId="5B913848">
            <w:pPr>
              <w:spacing w:before="0" w:after="0" w:line="264" w:lineRule="auto"/>
            </w:pPr>
            <w:r>
              <w:rPr>
                <w:rFonts w:ascii="Calibri" w:hAnsi="Calibri" w:eastAsia="微软雅黑"/>
                <w:b w:val="0"/>
                <w:i w:val="0"/>
                <w:color w:val="0F172A"/>
                <w:sz w:val="17"/>
              </w:rPr>
              <w:t>可能用活动次数证明投入，忽略受众是否真正理解抗生素污染和抗菌肽筛选的意义。</w:t>
            </w:r>
          </w:p>
        </w:tc>
        <w:tc>
          <w:tcPr>
            <w:tcW w:w="3910" w:type="dxa"/>
            <w:shd w:val="clear" w:color="auto" w:fill="F6F8FB"/>
            <w:tcMar>
              <w:top w:w="95" w:type="dxa"/>
              <w:left w:w="120" w:type="dxa"/>
              <w:bottom w:w="95" w:type="dxa"/>
              <w:right w:w="120" w:type="dxa"/>
            </w:tcMar>
            <w:vAlign w:val="center"/>
          </w:tcPr>
          <w:p w14:paraId="2D52CF4A">
            <w:pPr>
              <w:spacing w:before="0" w:after="0" w:line="264" w:lineRule="auto"/>
            </w:pPr>
            <w:r>
              <w:rPr>
                <w:rFonts w:ascii="Calibri" w:hAnsi="Calibri" w:eastAsia="微软雅黑"/>
                <w:b w:val="0"/>
                <w:i w:val="0"/>
                <w:color w:val="0F172A"/>
                <w:sz w:val="17"/>
              </w:rPr>
              <w:t>转向少而精的互动设计，例如用更直观的公众参与方式解释抗生素残留、环境保护和 AMR 风险。</w:t>
            </w:r>
          </w:p>
        </w:tc>
      </w:tr>
      <w:tr w14:paraId="743327B9">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rPr>
          <w:cantSplit/>
        </w:trPr>
        <w:tc>
          <w:tcPr>
            <w:tcW w:w="1900" w:type="dxa"/>
            <w:tcMar>
              <w:top w:w="95" w:type="dxa"/>
              <w:left w:w="120" w:type="dxa"/>
              <w:bottom w:w="95" w:type="dxa"/>
              <w:right w:w="120" w:type="dxa"/>
            </w:tcMar>
            <w:vAlign w:val="center"/>
          </w:tcPr>
          <w:p w14:paraId="40C5B685">
            <w:pPr>
              <w:spacing w:before="0" w:after="0" w:line="264" w:lineRule="auto"/>
            </w:pPr>
            <w:r>
              <w:rPr>
                <w:rFonts w:ascii="Calibri" w:hAnsi="Calibri" w:eastAsia="微软雅黑"/>
                <w:b w:val="0"/>
                <w:i w:val="0"/>
                <w:color w:val="0F172A"/>
                <w:sz w:val="17"/>
              </w:rPr>
              <w:t>Wiki / 海报 / 答辩</w:t>
            </w:r>
          </w:p>
        </w:tc>
        <w:tc>
          <w:tcPr>
            <w:tcW w:w="3550" w:type="dxa"/>
            <w:tcMar>
              <w:top w:w="95" w:type="dxa"/>
              <w:left w:w="120" w:type="dxa"/>
              <w:bottom w:w="95" w:type="dxa"/>
              <w:right w:w="120" w:type="dxa"/>
            </w:tcMar>
            <w:vAlign w:val="center"/>
          </w:tcPr>
          <w:p w14:paraId="40233356">
            <w:pPr>
              <w:spacing w:before="0" w:after="0" w:line="264" w:lineRule="auto"/>
            </w:pPr>
            <w:r>
              <w:rPr>
                <w:rFonts w:ascii="Calibri" w:hAnsi="Calibri" w:eastAsia="微软雅黑"/>
                <w:b w:val="0"/>
                <w:i w:val="0"/>
                <w:color w:val="0F172A"/>
                <w:sz w:val="17"/>
              </w:rPr>
              <w:t>不同模块可能分别准备，导致评委难以快速找到证据。</w:t>
            </w:r>
          </w:p>
        </w:tc>
        <w:tc>
          <w:tcPr>
            <w:tcW w:w="3910" w:type="dxa"/>
            <w:tcMar>
              <w:top w:w="95" w:type="dxa"/>
              <w:left w:w="120" w:type="dxa"/>
              <w:bottom w:w="95" w:type="dxa"/>
              <w:right w:w="120" w:type="dxa"/>
            </w:tcMar>
            <w:vAlign w:val="center"/>
          </w:tcPr>
          <w:p w14:paraId="0298A005">
            <w:pPr>
              <w:spacing w:before="0" w:after="0" w:line="264" w:lineRule="auto"/>
            </w:pPr>
            <w:r>
              <w:rPr>
                <w:rFonts w:ascii="Calibri" w:hAnsi="Calibri" w:eastAsia="微软雅黑"/>
                <w:b w:val="0"/>
                <w:i w:val="0"/>
                <w:color w:val="0F172A"/>
                <w:sz w:val="17"/>
              </w:rPr>
              <w:t>统一围绕“真实问题—AMPlify 框架—关键证据—HP 如何改变项目—边界”组织第一阅读层。</w:t>
            </w:r>
          </w:p>
        </w:tc>
      </w:tr>
      <w:tr w14:paraId="7BC91EEC">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rPr>
          <w:cantSplit/>
        </w:trPr>
        <w:tc>
          <w:tcPr>
            <w:tcW w:w="1900" w:type="dxa"/>
            <w:shd w:val="clear" w:color="auto" w:fill="F6F8FB"/>
            <w:tcMar>
              <w:top w:w="95" w:type="dxa"/>
              <w:left w:w="120" w:type="dxa"/>
              <w:bottom w:w="95" w:type="dxa"/>
              <w:right w:w="120" w:type="dxa"/>
            </w:tcMar>
            <w:vAlign w:val="center"/>
          </w:tcPr>
          <w:p w14:paraId="4403F4D1">
            <w:pPr>
              <w:spacing w:before="0" w:after="0" w:line="264" w:lineRule="auto"/>
            </w:pPr>
            <w:r>
              <w:rPr>
                <w:rFonts w:ascii="Calibri" w:hAnsi="Calibri" w:eastAsia="微软雅黑"/>
                <w:b w:val="0"/>
                <w:i w:val="0"/>
                <w:color w:val="0F172A"/>
                <w:sz w:val="17"/>
              </w:rPr>
              <w:t>团队表达</w:t>
            </w:r>
          </w:p>
        </w:tc>
        <w:tc>
          <w:tcPr>
            <w:tcW w:w="3550" w:type="dxa"/>
            <w:shd w:val="clear" w:color="auto" w:fill="F6F8FB"/>
            <w:tcMar>
              <w:top w:w="95" w:type="dxa"/>
              <w:left w:w="120" w:type="dxa"/>
              <w:bottom w:w="95" w:type="dxa"/>
              <w:right w:w="120" w:type="dxa"/>
            </w:tcMar>
            <w:vAlign w:val="center"/>
          </w:tcPr>
          <w:p w14:paraId="06D607BB">
            <w:pPr>
              <w:spacing w:before="0" w:after="0" w:line="264" w:lineRule="auto"/>
            </w:pPr>
            <w:r>
              <w:rPr>
                <w:rFonts w:ascii="Calibri" w:hAnsi="Calibri" w:eastAsia="微软雅黑"/>
                <w:b w:val="0"/>
                <w:i w:val="0"/>
                <w:color w:val="0F172A"/>
                <w:sz w:val="17"/>
              </w:rPr>
              <w:t>项目主线可能只由 HP 或 Model 组熟悉，答辩时容易出现跨组理解不一致。</w:t>
            </w:r>
          </w:p>
        </w:tc>
        <w:tc>
          <w:tcPr>
            <w:tcW w:w="3910" w:type="dxa"/>
            <w:shd w:val="clear" w:color="auto" w:fill="F6F8FB"/>
            <w:tcMar>
              <w:top w:w="95" w:type="dxa"/>
              <w:left w:w="120" w:type="dxa"/>
              <w:bottom w:w="95" w:type="dxa"/>
              <w:right w:w="120" w:type="dxa"/>
            </w:tcMar>
            <w:vAlign w:val="center"/>
          </w:tcPr>
          <w:p w14:paraId="4E1D061B">
            <w:pPr>
              <w:spacing w:before="0" w:after="0" w:line="264" w:lineRule="auto"/>
            </w:pPr>
            <w:r>
              <w:rPr>
                <w:rFonts w:ascii="Calibri" w:hAnsi="Calibri" w:eastAsia="微软雅黑"/>
                <w:b w:val="0"/>
                <w:i w:val="0"/>
                <w:color w:val="0F172A"/>
                <w:sz w:val="17"/>
              </w:rPr>
              <w:t>强化内部主线复盘，让团队成员都能解释 AMPlify 如何从动物健康需求走向 AI 候选肽筛选与证据分级。</w:t>
            </w:r>
          </w:p>
        </w:tc>
      </w:tr>
    </w:tbl>
    <w:p w14:paraId="0CAAABA1">
      <w:pPr>
        <w:pStyle w:val="3"/>
        <w:keepNext/>
        <w:spacing w:before="260" w:after="100" w:line="264" w:lineRule="auto"/>
      </w:pPr>
      <w:r>
        <w:rPr>
          <w:rFonts w:ascii="Calibri" w:hAnsi="Calibri" w:eastAsia="微软雅黑"/>
          <w:b/>
          <w:i w:val="0"/>
          <w:color w:val="0F172A"/>
          <w:sz w:val="32"/>
        </w:rPr>
        <w:t>哪些内容需要谨慎说明？</w:t>
      </w:r>
    </w:p>
    <w:p w14:paraId="49787339">
      <w:pPr>
        <w:spacing w:before="0" w:after="120" w:line="274" w:lineRule="auto"/>
      </w:pPr>
      <w:r>
        <w:rPr>
          <w:rFonts w:ascii="Calibri" w:hAnsi="Calibri" w:eastAsia="微软雅黑"/>
          <w:b w:val="0"/>
          <w:i w:val="0"/>
          <w:color w:val="0F172A"/>
          <w:sz w:val="21"/>
        </w:rPr>
        <w:t>东北地区交流会主要改变的是 AMPlify 的组织方式和表达方式，而不是直接提供某一项实验结论。因此，在 Wiki 中不应把它写成干湿实验技术突破，也不需要写技术小循环。更稳妥的表达是：这次交流帮助团队把前期分散调研整理为一条更清晰的 HP 主线，并促使我们改进 Education、Wiki、海报和答辩的呈现方式。对于没有直接改变实验或模型的活动，其价值应体现在问题定义、受众理解、项目叙事、公共沟通和团队表达上。</w:t>
      </w:r>
    </w:p>
    <w:sectPr>
      <w:headerReference r:id="rId5" w:type="default"/>
      <w:footerReference r:id="rId6" w:type="default"/>
      <w:pgSz w:w="12240" w:h="15840"/>
      <w:pgMar w:top="1181" w:right="1181" w:bottom="1123" w:left="1181" w:header="173" w:footer="17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E2543">
    <w:pPr>
      <w:spacing w:after="0"/>
      <w:jc w:val="center"/>
    </w:pPr>
    <w:r>
      <w:drawing>
        <wp:inline distT="0" distB="0" distL="114300" distR="114300">
          <wp:extent cx="1115060" cy="438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1115568" cy="43841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838F5">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502081988" name="mic_bg_protocol_body_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1988" name="mic_bg_protocol_body_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2400" cy="1005840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2A44"/>
    <w:rsid w:val="002827FA"/>
    <w:rsid w:val="0029639D"/>
    <w:rsid w:val="002F0666"/>
    <w:rsid w:val="00326F90"/>
    <w:rsid w:val="0047278C"/>
    <w:rsid w:val="006147DC"/>
    <w:rsid w:val="007F6D19"/>
    <w:rsid w:val="00AA1D8D"/>
    <w:rsid w:val="00B47730"/>
    <w:rsid w:val="00BF6AE5"/>
    <w:rsid w:val="00CB0664"/>
    <w:rsid w:val="00F522F0"/>
    <w:rsid w:val="00FC693F"/>
    <w:rsid w:val="46FB72AC"/>
    <w:rsid w:val="9DD91385"/>
    <w:rsid w:val="DFFEA8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74" w:lineRule="auto"/>
    </w:pPr>
    <w:rPr>
      <w:rFonts w:ascii="Calibri" w:hAnsi="Calibri" w:eastAsia="微软雅黑" w:cstheme="minorBidi"/>
      <w:color w:val="0F172A"/>
      <w:sz w:val="21"/>
      <w:szCs w:val="22"/>
      <w:lang w:val="en-US" w:eastAsia="en-US" w:bidi="ar-SA"/>
    </w:rPr>
  </w:style>
  <w:style w:type="paragraph" w:styleId="3">
    <w:name w:val="heading 1"/>
    <w:basedOn w:val="1"/>
    <w:next w:val="1"/>
    <w:link w:val="138"/>
    <w:qFormat/>
    <w:uiPriority w:val="9"/>
    <w:pPr>
      <w:keepNext/>
      <w:keepLines/>
      <w:spacing w:before="280" w:after="120" w:line="264" w:lineRule="auto"/>
      <w:outlineLvl w:val="0"/>
    </w:pPr>
    <w:rPr>
      <w:rFonts w:asciiTheme="majorHAnsi" w:hAnsiTheme="majorHAnsi" w:eastAsiaTheme="majorEastAsia" w:cstheme="majorBidi"/>
      <w:b/>
      <w:bCs/>
      <w:color w:val="0F172A"/>
      <w:sz w:val="32"/>
      <w:szCs w:val="28"/>
    </w:rPr>
  </w:style>
  <w:style w:type="paragraph" w:styleId="4">
    <w:name w:val="heading 2"/>
    <w:basedOn w:val="1"/>
    <w:next w:val="1"/>
    <w:link w:val="139"/>
    <w:unhideWhenUsed/>
    <w:qFormat/>
    <w:uiPriority w:val="9"/>
    <w:pPr>
      <w:keepNext/>
      <w:keepLines/>
      <w:spacing w:before="180" w:after="100" w:line="264" w:lineRule="auto"/>
      <w:outlineLvl w:val="1"/>
    </w:pPr>
    <w:rPr>
      <w:rFonts w:asciiTheme="majorHAnsi" w:hAnsiTheme="majorHAnsi" w:eastAsiaTheme="majorEastAsia" w:cstheme="majorBidi"/>
      <w:b/>
      <w:bCs/>
      <w:color w:val="2563EB"/>
      <w:sz w:val="26"/>
      <w:szCs w:val="26"/>
    </w:rPr>
  </w:style>
  <w:style w:type="paragraph" w:styleId="5">
    <w:name w:val="heading 3"/>
    <w:basedOn w:val="1"/>
    <w:next w:val="1"/>
    <w:link w:val="140"/>
    <w:unhideWhenUsed/>
    <w:qFormat/>
    <w:uiPriority w:val="9"/>
    <w:pPr>
      <w:keepNext/>
      <w:keepLines/>
      <w:spacing w:before="160" w:after="80" w:line="264" w:lineRule="auto"/>
      <w:outlineLvl w:val="2"/>
    </w:pPr>
    <w:rPr>
      <w:rFonts w:asciiTheme="majorHAnsi" w:hAnsiTheme="majorHAnsi" w:eastAsiaTheme="majorEastAsia" w:cstheme="majorBidi"/>
      <w:b/>
      <w:bCs/>
      <w:color w:val="1E40AF"/>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before="0" w:after="60" w:line="269" w:lineRule="auto"/>
      <w:contextualSpacing/>
    </w:pPr>
    <w:rPr>
      <w:rFonts w:ascii="Calibri" w:hAnsi="Calibri" w:eastAsia="微软雅黑"/>
      <w:color w:val="0F172A"/>
      <w:sz w:val="20"/>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6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2057</Words>
  <Characters>2403</Characters>
  <Lines>486</Lines>
  <Paragraphs>348</Paragraphs>
  <TotalTime>3</TotalTime>
  <ScaleCrop>false</ScaleCrop>
  <LinksUpToDate>false</LinksUpToDate>
  <CharactersWithSpaces>2534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2026-06-11T02:57:00Z</dcterms:created>
  <dc:creator>OpenAI</dc:creator>
  <dc:description>generated by python-docx</dc:description>
  <cp:keywords>TEM, antimicrobial peptide, bacteria, E. coli, S. aureus, ultrastructure</cp:keywords>
  <cp:lastModifiedBy>white</cp:lastModifiedBy>
  <dcterms:modified xsi:type="dcterms:W3CDTF">2026-06-14T12:00:17Z</dcterms:modified>
  <dc:subject>TEM protocol for antimicrobial peptide-treated bacteria</dc:subject>
  <dc:title>Transmission Electron Microscopy Assay for Bacterial Ultrastructure after Antimicrobial Peptide Treatment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C505E73649CC4058B3216FDCDEA1DA8A_13</vt:lpwstr>
  </property>
  <property fmtid="{D5CDD505-2E9C-101B-9397-08002B2CF9AE}" pid="4" name="KSOTemplateDocerSaveRecord">
    <vt:lpwstr>eyJoZGlkIjoiMDkwNDYwMjI4OTM4NmIzYWJhNWU1OWRmZmE0Yzc5MDgiLCJ1c2VySWQiOiIxNzEzMTE1Mzg5In0=</vt:lpwstr>
  </property>
</Properties>
</file>