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SimHei" w:hAnsi="SimHei" w:eastAsia="SimHei"/>
          <w:b/>
          <w:color w:val="000000"/>
          <w:sz w:val="44"/>
        </w:rPr>
        <w:t>智能井盖监测系统硬件设计说明</w:t>
      </w:r>
    </w:p>
    <w:p>
      <w:pPr>
        <w:spacing w:after="240" w:line="283" w:lineRule="auto"/>
      </w:pPr>
      <w:r>
        <w:rPr>
          <w:rFonts w:ascii="SimHei" w:hAnsi="SimHei" w:eastAsia="SimHei"/>
          <w:b w:val="0"/>
          <w:color w:val="141E2B"/>
          <w:sz w:val="18"/>
        </w:rPr>
        <w:t>硬件赛道提交材料  |  版本 1.0  |  2026 年 9 月</w:t>
      </w:r>
    </w:p>
    <w:p>
      <w:pPr>
        <w:spacing w:after="240" w:line="283" w:lineRule="auto"/>
      </w:pPr>
      <w:r>
        <w:rPr>
          <w:rFonts w:ascii="SimHei" w:hAnsi="SimHei" w:eastAsia="SimHei"/>
          <w:b w:val="0"/>
          <w:color w:val="141E2B"/>
          <w:sz w:val="21"/>
        </w:rPr>
        <w:t>本说明书说明智能井盖原型的器件选型、两块 ESP32-S3 的功能分工、实际固件引脚、无线通信与摄像联动接线、供电注意事项及实物安装。图示为功能级电气连接，接线表以当前项目固件为准。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695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ed-prototyp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SimHei" w:hAnsi="SimHei" w:eastAsia="SimHei"/>
          <w:b w:val="0"/>
          <w:color w:val="141E2B"/>
          <w:sz w:val="16"/>
        </w:rPr>
        <w:t>图 1  井盖原型背面实物照片，展示阶段的器件和走线状态</w:t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设计结论</w:t>
      </w:r>
    </w:p>
    <w:p>
      <w:pPr>
        <w:spacing w:after="100" w:line="283" w:lineRule="auto"/>
      </w:pPr>
      <w:r>
        <w:rPr>
          <w:rFonts w:ascii="SimHei" w:hAnsi="SimHei" w:eastAsia="SimHei"/>
          <w:b w:val="0"/>
          <w:color w:val="141E2B"/>
          <w:sz w:val="19"/>
        </w:rPr>
        <w:t>系统由传感主板、独立相机板和 Cat.1/GPS 通信组件构成。传感主板采集姿态、水面净空和双霍尔状态，驱动声光报警，并通过 M100PG Cat.1 通道上传遥测；相机板通过手机 2.4 GHz 热点联网，接收传感主板的单向串口告警指令，拍摄并上传现场照片。</w:t>
      </w: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7"/>
        </w:rPr>
        <w:t>本样机采用杜邦线和模块化器件搭建；图 1 不能替代长期户外部署所需的防水、固定、抗振与绝缘结构设计。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1 系统结构与电气连接</w:t>
      </w:r>
    </w:p>
    <w:p>
      <w:pPr>
        <w:spacing w:after="180" w:line="283" w:lineRule="auto"/>
      </w:pPr>
      <w:r>
        <w:rPr>
          <w:rFonts w:ascii="SimHei" w:hAnsi="SimHei" w:eastAsia="SimHei"/>
          <w:b w:val="0"/>
          <w:color w:val="141E2B"/>
          <w:sz w:val="19"/>
        </w:rPr>
        <w:t>主控和相机是两块独立 ESP32-S3 板。前者负责传感、报警与 Cat.1 遥测，后者负责拍照与 Wi-Fi 上传；两板仅用一根串口信号线传递自动拍照指令，并共地。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2728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电气连接原理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28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SimHei" w:hAnsi="SimHei" w:eastAsia="SimHei"/>
          <w:b w:val="0"/>
          <w:color w:val="141E2B"/>
          <w:sz w:val="16"/>
        </w:rPr>
        <w:t>图 2  功能级电气连接原理图；引脚级关系见第 3、4 节接线表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888"/>
        <w:gridCol w:w="4824"/>
      </w:tblGrid>
      <w:tr>
        <w:trPr>
          <w:tblHeader/>
        </w:trPr>
        <w:tc>
          <w:tcPr>
            <w:tcW w:type="dxa" w:w="144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器件组成</w:t>
            </w:r>
          </w:p>
        </w:tc>
        <w:tc>
          <w:tcPr>
            <w:tcW w:type="dxa" w:w="48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传感控制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ESP32-S3、GY-521、US-100、双霍尔、两类蜂鸣器、指示灯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实时采集、状态判断、本地声光报警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公网通信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M100PG Cat.1/GPS 模组、测试底板、SIM、4G 与 GPS 天线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4G 数据链路和定位，向网站上报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图片采集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GOOUUU ESP32-S3-CAM、OV2640 摄像头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手动或告警触发拍照，经 Wi-Fi 上传照片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供电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可充电电池包、所需稳压/保护环节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向各板提供与其额定值相符的电源</w:t>
            </w:r>
          </w:p>
        </w:tc>
      </w:tr>
    </w:tbl>
    <w:p>
      <w:pPr>
        <w:spacing w:after="0"/>
      </w:pP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7"/>
        </w:rPr>
        <w:t>注意：图 2 只表示信号流，不表示供电可直接并接。实物电池的标称电压、容量与保护板参数应以电池标签和测量结果为准。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2 传感主板与传感器接线表</w:t>
      </w:r>
    </w:p>
    <w:p>
      <w:pPr>
        <w:spacing w:after="160" w:line="283" w:lineRule="auto"/>
      </w:pPr>
      <w:r>
        <w:rPr>
          <w:rFonts w:ascii="SimHei" w:hAnsi="SimHei" w:eastAsia="SimHei"/>
          <w:b w:val="0"/>
          <w:color w:val="141E2B"/>
          <w:sz w:val="19"/>
        </w:rPr>
        <w:t>下表来自传感主板固件 src/main.cpp 的引脚定义和初始化代码。GPIO 均指传感主板丝印数字引脚，不是板上标作 TX、RX 的默认串口焊盘。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232"/>
        <w:gridCol w:w="5688"/>
      </w:tblGrid>
      <w:tr>
        <w:trPr>
          <w:tblHeader/>
        </w:trPr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模块或端子</w:t>
            </w:r>
          </w:p>
        </w:tc>
        <w:tc>
          <w:tcPr>
            <w:tcW w:type="dxa" w:w="22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接到传感主板</w:t>
            </w:r>
          </w:p>
        </w:tc>
        <w:tc>
          <w:tcPr>
            <w:tcW w:type="dxa" w:w="56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7"/>
              </w:rPr>
              <w:t>作用与核对事项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GY-521 SDA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GPIO8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I²C 数据线；模块地址默认 0x68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GY-521 SCL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GPIO9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I²C 时钟线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GY-521 VCC/GND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3V3 / GND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按 3.3 V I²C 接线；AD0 保持低电平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US-100 Trig/Tx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GPIO16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超声波触发输出；固件使用 Trig/Echo 模式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US-100 Echo/Rx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GPIO17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回波输入；若模块以 5 V 工作，先降至 3.3 V 逻辑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US-100 VCC/GND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按实物规格 / GND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典型模块用 5 V；通电前核对所购板供电标识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左霍尔 OUT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GPIO7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内部上拉，低电平表示检测到磁体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右霍尔 OUT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GPIO10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内部上拉，低电平表示检测到磁体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霍尔 VCC/GND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按实物规格 / GND</w:t>
            </w:r>
          </w:p>
        </w:tc>
        <w:tc>
          <w:tcPr>
            <w:tcW w:type="dxa" w:w="56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7"/>
              </w:rPr>
              <w:t>若模块 OUT 为 5 V，须加电平转换后再进 ESP32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工作判定</w:t>
      </w:r>
    </w:p>
    <w:p>
      <w:pPr>
        <w:spacing w:after="100" w:line="283" w:lineRule="auto"/>
      </w:pPr>
      <w:r>
        <w:rPr>
          <w:rFonts w:ascii="SimHei" w:hAnsi="SimHei" w:eastAsia="SimHei"/>
          <w:b w:val="0"/>
          <w:color w:val="141E2B"/>
          <w:sz w:val="18"/>
        </w:rPr>
        <w:t>US-100 每约 200 ms 采样一次探头到水面的距离。双霍尔先完成输入消抖与状态确认；两侧持续失去磁体 10 s 才触发离位报警。姿态角持续落入危险区间 10 s 后才确认倾斜报警，避免瞬时震动误触发。恢复正常位置并稳定 20 s 后，系统可解除报警。</w:t>
      </w:r>
    </w:p>
    <w:p>
      <w:pPr>
        <w:spacing w:after="0" w:line="283" w:lineRule="auto"/>
      </w:pPr>
      <w:r>
        <w:rPr>
          <w:rFonts w:ascii="SimHei" w:hAnsi="SimHei" w:eastAsia="SimHei"/>
          <w:b/>
          <w:color w:val="141E2B"/>
          <w:sz w:val="18"/>
        </w:rPr>
        <w:t>电平保护：ESP32-S3 GPIO 属于 3.3 V 逻辑，不能把未确认的 5 V Echo 或霍尔 OUT 直接接入。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3 报警输出与板间通信接线表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320"/>
        <w:gridCol w:w="3888"/>
      </w:tblGrid>
      <w:tr>
        <w:trPr>
          <w:tblHeader/>
        </w:trPr>
        <w:tc>
          <w:tcPr>
            <w:tcW w:type="dxa" w:w="19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43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接线关系</w:t>
            </w:r>
          </w:p>
        </w:tc>
        <w:tc>
          <w:tcPr>
            <w:tcW w:type="dxa" w:w="38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程序定义与说明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姿态报警灯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GPIO2 → 红色指示灯控制端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高电平点亮；模块电源和 GND 按实物标识连接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有源蜂鸣器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GPIO4 → 蜂鸣器控制端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高电平有效；大电流负载应加驱动级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水位提示灯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GPIO5 → 指示灯控制端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按水位等级常亮或闪烁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无源蜂鸣器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GPIO6 → 蜂鸣器控制端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LEDC 输出不同频率的提示音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Cat.1 上行串口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GPIO18 TX → M100PG 底板 RXD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115200 bit/s，8N1；TX/RX 交叉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Cat.1 下行串口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M100PG 底板 TXD → 传感主板 GPIO21 RX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底板应接模组侧接口；具体排针以实物丝印核对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相机告警链路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GPIO13 TX → 相机板 GPIO14 RX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115200 bit/s，8N1，仅单向；自动拍 5 张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公共地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传感主板 GND ↔ Cat.1 底板 GND ↔ 相机 GND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不同电源供电时仍需建立信号参考地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相机 BOOT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相机板自带 GPIO0 按键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本地触发；烧录/复位时不要长按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通信与联动流程</w:t>
      </w:r>
    </w:p>
    <w:p>
      <w:pPr>
        <w:spacing w:after="100" w:line="283" w:lineRule="auto"/>
      </w:pPr>
      <w:r>
        <w:rPr>
          <w:rFonts w:ascii="SimHei" w:hAnsi="SimHei" w:eastAsia="SimHei"/>
          <w:b w:val="0"/>
          <w:color w:val="141E2B"/>
          <w:sz w:val="18"/>
        </w:rPr>
        <w:t>传感主板每 20 s 整合姿态、水位、霍尔和定位信息，经 UART 送至 Cat.1 模组上报网站。确认倾斜或井盖离位报警时，GPIO13 发送 CAPTURE,5 指令；独立相机板从 GPIO14 接收后执行 5 张连拍，并通过已连接的 2.4 GHz 热点上传。网页还可远程选择单拍、连拍 3 张或 5 张。</w:t>
      </w: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8"/>
        </w:rPr>
        <w:t>相机与 Cat.1 是不同的数据通道。Cat.1 上报传感器数据不要求 GPS 先定位成功；GPS/LBS 只影响位置字段。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4 供电与现场安装</w:t>
      </w:r>
    </w:p>
    <w:p>
      <w:pPr>
        <w:spacing w:after="160" w:line="283" w:lineRule="auto"/>
      </w:pPr>
      <w:r>
        <w:rPr>
          <w:rFonts w:ascii="SimHei" w:hAnsi="SimHei" w:eastAsia="SimHei"/>
          <w:b w:val="0"/>
          <w:color w:val="141E2B"/>
          <w:sz w:val="19"/>
        </w:rPr>
        <w:t>照片中的蓝色电池包带充放电接口，但照片不能可靠读出标称电压、容量和最大输出电流。电池输出不得直接接 ESP32 的 3V3 引脚；应先核对电池标签，再按主板、相机板及通信底板各自的输入要求配置稳压和保护。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069080" cy="3082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hargeable-batte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082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83" w:lineRule="auto"/>
        <w:jc w:val="center"/>
      </w:pPr>
      <w:r>
        <w:rPr>
          <w:rFonts w:ascii="SimHei" w:hAnsi="SimHei" w:eastAsia="SimHei"/>
          <w:b w:val="0"/>
          <w:color w:val="141E2B"/>
          <w:sz w:val="16"/>
        </w:rPr>
        <w:t>图 3  可充放电电池包外观；最终参数应核对实物铭牌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4536"/>
        <w:gridCol w:w="3528"/>
      </w:tblGrid>
      <w:tr>
        <w:trPr>
          <w:tblHeader/>
        </w:trPr>
        <w:tc>
          <w:tcPr>
            <w:tcW w:type="dxa" w:w="20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供电对象</w:t>
            </w:r>
          </w:p>
        </w:tc>
        <w:tc>
          <w:tcPr>
            <w:tcW w:type="dxa" w:w="45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接法原则</w:t>
            </w:r>
          </w:p>
        </w:tc>
        <w:tc>
          <w:tcPr>
            <w:tcW w:type="dxa" w:w="35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提交前核对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 ESP32-S3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用稳定的板级输入电源供电；与外设共地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输入电压、极性和瞬态压降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ESP32-S3-CAM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单独获得稳定的板级输入电源；与传感板共地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连续拍摄和 Wi-Fi 上传时是否复位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Cat.1 测试底板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按实物底板 DC 输入标识供电；不可从 GPIO 供电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启动及发射电流、跳帽与供电路径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US-100 与霍尔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按模块标称电压供电，并保护返回的 GPIO 信号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Echo/OUT 的实测高电平不超过 3.3 V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井盖结构安排</w:t>
      </w: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8"/>
        </w:rPr>
        <w:t>展示样机将 4G 通信、GPS 天线、两只蜂鸣器和两只指示灯放在井盖正面；主控、姿态、水位、相机及电池固定在背面；两个霍尔元件位于井盖与井框的衔接处，与磁体成对。US-100 探头面向井下水面。现场部署还应增加防水壳体、线束固定、绝缘与防拉脱设计。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5 主要器件清单 BOM</w:t>
      </w:r>
    </w:p>
    <w:p>
      <w:pPr>
        <w:spacing w:after="160" w:line="283" w:lineRule="auto"/>
      </w:pPr>
      <w:r>
        <w:rPr>
          <w:rFonts w:ascii="SimHei" w:hAnsi="SimHei" w:eastAsia="SimHei"/>
          <w:b w:val="0"/>
          <w:color w:val="141E2B"/>
          <w:sz w:val="19"/>
        </w:rPr>
        <w:t>数量按本原型的功能配置列出；不填写未经确认的采购价格或电池容量。M100PG 为项目使用的通信模组名称，所附同系列套件照片的印字可能不同，最终以实际装机模组为准。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4464"/>
        <w:gridCol w:w="936"/>
        <w:gridCol w:w="4104"/>
      </w:tblGrid>
      <w:tr>
        <w:trPr>
          <w:tblHeader/>
        </w:trPr>
        <w:tc>
          <w:tcPr>
            <w:tcW w:type="dxa" w:w="6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446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器件</w:t>
            </w:r>
          </w:p>
        </w:tc>
        <w:tc>
          <w:tcPr>
            <w:tcW w:type="dxa" w:w="9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41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SimHei" w:hAnsi="SimHei" w:eastAsia="SimHei"/>
                <w:b/>
                <w:color w:val="FFFFFF"/>
                <w:sz w:val="16"/>
              </w:rPr>
              <w:t>用途或位置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01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ESP32-S3 开发板，双 USB-C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传感与报警主控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02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GOOUUU ESP32-S3-CAM / OV2640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独立图像采集板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03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US-100 超声波测距模块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井下水面净空监测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04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GY-521 MPU-6050 姿态模块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井盖倾角检测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05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霍尔检测模块与磁体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2 组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井盖在位/离位检测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06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有源蜂鸣器模块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本地报警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07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无源蜂鸣器模块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分级提示音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08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LED 指示模块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2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姿态/水位声光提示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09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M100PG Cat.1/GPS 模组与测试底板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 套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4G 遥测和定位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10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4G 天线、GPS 有源天线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各 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蜂窝网络与卫星信号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11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可充放电电池包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独立供电，参数以实物铭牌为准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12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SIM 卡、连接线、固定材料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若干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A"/>
          </w:tcPr>
          <w:p>
            <w:pPr>
              <w:spacing w:after="0" w:line="264" w:lineRule="auto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网络接入与原型装配</w:t>
            </w:r>
          </w:p>
        </w:tc>
      </w:tr>
    </w:tbl>
    <w:p>
      <w:pPr>
        <w:spacing w:after="0"/>
      </w:pP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7"/>
        </w:rPr>
        <w:t>注：稳压器、电平转换器、保护元件是否已经安装，需在最终装配照片和实物接线中确认；若未安装，不应在 BOM 中宣称为现有器件。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6 器件与实物照片</w:t>
      </w:r>
    </w:p>
    <w:p>
      <w:pPr>
        <w:spacing w:after="100" w:line="283" w:lineRule="auto"/>
      </w:pPr>
      <w:r>
        <w:rPr>
          <w:rFonts w:ascii="SimHei" w:hAnsi="SimHei" w:eastAsia="SimHei"/>
          <w:b w:val="0"/>
          <w:color w:val="141E2B"/>
          <w:sz w:val="19"/>
        </w:rPr>
        <w:t>下列照片为项目使用或选型参考的模块外观；安装状态以图 1 的实物照片为准。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07136" cy="960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p32-s3-main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136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77292" cy="960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-1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292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传感主控 ESP32-S3</w:t>
            </w:r>
          </w:p>
        </w:tc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US-100 超声波模块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49173" cy="960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pu6050-fron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173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3715" cy="960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ll-modul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715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GY-521 姿态模块</w:t>
            </w:r>
          </w:p>
        </w:tc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双霍尔模块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93370" cy="960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uuu-esp32-s3-cam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7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100e-cat1-gps-ki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独立摄像头板</w:t>
            </w:r>
          </w:p>
        </w:tc>
        <w:tc>
          <w:tcPr>
            <w:tcW w:type="dxa" w:w="5083"/>
          </w:tcPr>
          <w:p>
            <w:pPr>
              <w:jc w:val="center"/>
            </w:pPr>
            <w:r/>
            <w:r>
              <w:rPr>
                <w:rFonts w:ascii="SimHei" w:hAnsi="SimHei" w:eastAsia="SimHei"/>
                <w:b w:val="0"/>
                <w:color w:val="141E2B"/>
                <w:sz w:val="16"/>
              </w:rPr>
              <w:t>Cat.1/GPS 同系列套件参考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SimHei" w:hAnsi="SimHei" w:eastAsia="SimHei"/>
          <w:b/>
          <w:color w:val="000000"/>
          <w:sz w:val="28"/>
        </w:rPr>
        <w:t>7 通电与功能核验</w:t>
      </w:r>
    </w:p>
    <w:p>
      <w:pPr>
        <w:spacing w:after="140" w:line="283" w:lineRule="auto"/>
      </w:pPr>
      <w:r>
        <w:rPr>
          <w:rFonts w:ascii="SimHei" w:hAnsi="SimHei" w:eastAsia="SimHei"/>
          <w:b w:val="0"/>
          <w:color w:val="141E2B"/>
          <w:sz w:val="17"/>
        </w:rPr>
        <w:t>建议依次检查：① 各电源轨电压和极性；② MPU-6050 I²C 地址及姿态角变化；③ US-100 回波电平、测距更新和 GPIO17 波形；④ 双霍尔单侧/双侧移磁后状态变化；⑤ 两类蜂鸣器和指示灯；⑥ M100PG 网络就绪与 20 s 遥测；⑦ 相机板本地拍照、串口自动 5 连拍和网页照片可见。</w:t>
      </w:r>
    </w:p>
    <w:p>
      <w:pPr>
        <w:spacing w:after="0" w:line="283" w:lineRule="auto"/>
      </w:pPr>
      <w:r>
        <w:rPr>
          <w:rFonts w:ascii="SimHei" w:hAnsi="SimHei" w:eastAsia="SimHei"/>
          <w:b w:val="0"/>
          <w:color w:val="141E2B"/>
          <w:sz w:val="16"/>
        </w:rPr>
        <w:t>设计依据：本项目传感固件 src/main.cpp；相机固件 camera/src/main.cpp 与 camera/include/board_config.h；ESP32-S3 官方数据手册；US-100 模块资料。展示照片不等同于经计量认证的测试结果。</w:t>
      </w:r>
    </w:p>
    <w:sectPr w:rsidR="00FC693F" w:rsidRPr="0006063C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 w:eastAsia="Sim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