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365d"/>
          <w:sz w:val="52"/>
          <w:szCs w:val="52"/>
        </w:rPr>
        <w:t xml:space="preserve">蓝血研究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2b6cb0"/>
          <w:sz w:val="40"/>
          <w:szCs w:val="40"/>
        </w:rPr>
        <w:t xml:space="preserve">华为知识脉络体系梳理</w:t>
      </w:r>
    </w:p>
    <w:p>
      <w:pPr>
        <w:pBdr>
          <w:bottom w:val="single" w:color="B0C4DE" w:sz="6"/>
        </w:pBdr>
        <w:spacing w:after="200" w:before="200"/>
      </w:pP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68"/>
          <w:sz w:val="20"/>
          <w:szCs w:val="20"/>
        </w:rPr>
        <w:t xml:space="preserve">基于蓝血研究公众号、蓝血研究院出版物及公开内容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4a5568"/>
          <w:sz w:val="20"/>
          <w:szCs w:val="20"/>
        </w:rPr>
        <w:t xml:space="preserve">以“蓝血研究”为线索，梳理其对华为管理体系的系统性解读框架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1a365d"/>
          <w:sz w:val="22"/>
          <w:szCs w:val="22"/>
        </w:rPr>
        <w:t xml:space="preserve">2026 年 7 月 24 日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一、蓝血研究概况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365d"/>
          <w:sz w:val="21"/>
          <w:szCs w:val="21"/>
        </w:rPr>
        <w:t xml:space="preserve">蓝血研究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（公众号）由杨爱国（网名“咔嚓院长”）创办，是中国企业管理研究领域极具影响力的自媒体。蓝血研究院的使命是“赋能中国企业打胜仗”，以华为和IBM等标杆企业的管理哲学与最佳实践为基础，形成独特的“六驾马车”价值驱动模型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创始人背景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：杨爱国曾任职于中国中铁、中国电子科技集团、香港恒和创投及多家上市企业，潜心研究华为7年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读者群体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：近40万关注者，以企业创始人、CEO、中高层管理者为主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核心定位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：降低学华为的门槛，将华为管理方法论系统化输出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b6cb0"/>
          <w:sz w:val="26"/>
          <w:szCs w:val="26"/>
        </w:rPr>
        <w:t xml:space="preserve">出版著作体系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000"/>
      </w:tblGrid>
      <w:tr>
        <w:trPr>
          <w:tblHeader/>
        </w:trPr>
        <w:tc>
          <w:tcPr>
            <w:tcW w:type="dxa" w:w="2400"/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书名</w:t>
            </w:r>
          </w:p>
        </w:tc>
        <w:tc>
          <w:tcPr>
            <w:tcW w:type="dxa" w:w="2000"/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1600"/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出版时间</w:t>
            </w:r>
          </w:p>
        </w:tc>
        <w:tc>
          <w:tcPr>
            <w:tcW w:type="dxa" w:w="3000"/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核心主题</w:t>
            </w:r>
          </w:p>
        </w:tc>
      </w:tr>
      <w:tr>
        <w:tc>
          <w:tcPr>
            <w:tcW w:type="dxa" w:w="24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《华为奋斗密码》</w:t>
            </w:r>
          </w:p>
        </w:tc>
        <w:tc>
          <w:tcPr>
            <w:tcW w:type="dxa" w:w="20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杨爱国</w:t>
            </w:r>
          </w:p>
        </w:tc>
        <w:tc>
          <w:tcPr>
            <w:tcW w:type="dxa" w:w="16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2019年</w:t>
            </w:r>
          </w:p>
        </w:tc>
        <w:tc>
          <w:tcPr>
            <w:tcW w:type="dxa" w:w="30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人力资源管理——价值创造、评价、分配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《华为财经密码》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杨爱国、高正贤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2021年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财经管理——业财融合与风险制衡</w:t>
            </w:r>
          </w:p>
        </w:tc>
      </w:tr>
      <w:tr>
        <w:tc>
          <w:tcPr>
            <w:tcW w:type="dxa" w:w="24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《LTC与铁三角》</w:t>
            </w:r>
          </w:p>
        </w:tc>
        <w:tc>
          <w:tcPr>
            <w:tcW w:type="dxa" w:w="20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王占刚（杨爱国推荐）</w:t>
            </w:r>
          </w:p>
        </w:tc>
        <w:tc>
          <w:tcPr>
            <w:tcW w:type="dxa" w:w="16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2022年</w:t>
            </w:r>
          </w:p>
        </w:tc>
        <w:tc>
          <w:tcPr>
            <w:tcW w:type="dxa" w:w="30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营销体系——从线索到回款</w:t>
            </w:r>
          </w:p>
        </w:tc>
      </w:tr>
    </w:tbl>
    <w:p>
      <w:pPr>
        <w:pBdr>
          <w:bottom w:val="single" w:color="B0C4DE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二、知识脉络总图：华为管理体系全景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蓝血研究对华为的研究可以归纳为以下七大知识板块，构成一个完整的管理知识地图：</w:t>
      </w:r>
    </w:p>
    <w:p>
      <w:pPr>
        <w:spacing w:before="200"/>
      </w:pPr>
    </w:p>
    <w:p>
      <w:pPr>
        <w:shd w:fill="EBF4FF" w:val="clear"/>
        <w:spacing w:after="80"/>
        <w:jc w:val="center"/>
      </w:pPr>
      <w:r>
        <w:rPr>
          <w:rFonts w:ascii="Consolas" w:cs="Consolas" w:eastAsia="Consolas" w:hAnsi="Consolas"/>
          <w:color w:val="1a365d"/>
          <w:sz w:val="18"/>
          <w:szCs w:val="18"/>
        </w:rPr>
        <w:t xml:space="preserve">┌─────────────────────────┐</w:t>
      </w:r>
    </w:p>
    <w:p>
      <w:pPr>
        <w:shd w:fill="EBF4FF" w:val="clear"/>
        <w:jc w:val="center"/>
      </w:pPr>
      <w:r>
        <w:rPr>
          <w:rFonts w:ascii="Consolas" w:cs="Consolas" w:eastAsia="Consolas" w:hAnsi="Consolas"/>
          <w:color w:val="1a365d"/>
          <w:sz w:val="18"/>
          <w:szCs w:val="18"/>
        </w:rPr>
        <w:t xml:space="preserve">│  1. 核心价值观与文化（地基/灵魂） │</w:t>
      </w:r>
    </w:p>
    <w:p>
      <w:pPr>
        <w:shd w:fill="EBF4FF" w:val="clear"/>
        <w:jc w:val="center"/>
      </w:pPr>
      <w:r>
        <w:rPr>
          <w:rFonts w:ascii="Consolas" w:cs="Consolas" w:eastAsia="Consolas" w:hAnsi="Consolas"/>
          <w:color w:val="1a365d"/>
          <w:sz w:val="18"/>
          <w:szCs w:val="18"/>
        </w:rPr>
        <w:t xml:space="preserve">└─────────────────────────┘</w:t>
      </w:r>
    </w:p>
    <w:p>
      <w:pPr>
        <w:shd w:fill="EBF4FF" w:val="clear"/>
        <w:spacing w:after="40"/>
        <w:jc w:val="center"/>
      </w:pPr>
      <w:r>
        <w:rPr>
          <w:rFonts w:ascii="Consolas" w:cs="Consolas" w:eastAsia="Consolas" w:hAnsi="Consolas"/>
          <w:color w:val="2b6cb0"/>
          <w:sz w:val="18"/>
          <w:szCs w:val="18"/>
        </w:rPr>
        <w:t xml:space="preserve">▼</w:t>
      </w:r>
    </w:p>
    <w:p>
      <w:pPr>
        <w:shd w:fill="EBF4FF" w:val="clear"/>
        <w:jc w:val="center"/>
      </w:pPr>
      <w:r>
        <w:rPr>
          <w:rFonts w:ascii="Consolas" w:cs="Consolas" w:eastAsia="Consolas" w:hAnsi="Consolas"/>
          <w:color w:val="1a365d"/>
          <w:sz w:val="18"/>
          <w:szCs w:val="18"/>
        </w:rPr>
        <w:t xml:space="preserve">2. 战略管理    3. 人力资源    4. 流程与变革</w:t>
      </w:r>
    </w:p>
    <w:p>
      <w:pPr>
        <w:shd w:fill="EBF4FF" w:val="clear"/>
        <w:jc w:val="center"/>
      </w:pPr>
      <w:r>
        <w:rPr>
          <w:rFonts w:ascii="Consolas" w:cs="Consolas" w:eastAsia="Consolas" w:hAnsi="Consolas"/>
          <w:color w:val="4a5568"/>
          <w:sz w:val="18"/>
          <w:szCs w:val="18"/>
        </w:rPr>
        <w:t xml:space="preserve">(方向/路径)   (动力/引擎)   (骨架/运作)</w:t>
      </w:r>
    </w:p>
    <w:p>
      <w:pPr>
        <w:shd w:fill="EBF4FF" w:val="clear"/>
        <w:spacing w:after="40"/>
        <w:jc w:val="center"/>
      </w:pPr>
      <w:r>
        <w:rPr>
          <w:rFonts w:ascii="Consolas" w:cs="Consolas" w:eastAsia="Consolas" w:hAnsi="Consolas"/>
          <w:color w:val="2b6cb0"/>
          <w:sz w:val="18"/>
          <w:szCs w:val="18"/>
        </w:rPr>
        <w:t xml:space="preserve">▼</w:t>
      </w:r>
    </w:p>
    <w:p>
      <w:pPr>
        <w:shd w:fill="EBF4FF" w:val="clear"/>
        <w:jc w:val="center"/>
      </w:pPr>
      <w:r>
        <w:rPr>
          <w:rFonts w:ascii="Consolas" w:cs="Consolas" w:eastAsia="Consolas" w:hAnsi="Consolas"/>
          <w:color w:val="1a365d"/>
          <w:sz w:val="18"/>
          <w:szCs w:val="18"/>
        </w:rPr>
        <w:t xml:space="preserve">5. 财经管理    6. 营销与客户    7. 组织与领导力</w:t>
      </w:r>
    </w:p>
    <w:p>
      <w:pPr>
        <w:shd w:fill="EBF4FF" w:val="clear"/>
        <w:spacing w:after="200"/>
        <w:jc w:val="center"/>
      </w:pPr>
      <w:r>
        <w:rPr>
          <w:rFonts w:ascii="Consolas" w:cs="Consolas" w:eastAsia="Consolas" w:hAnsi="Consolas"/>
          <w:color w:val="4a5568"/>
          <w:sz w:val="18"/>
          <w:szCs w:val="18"/>
        </w:rPr>
        <w:t xml:space="preserve">(血液/制衡)   (触角/前线)   (肌肉/执行)</w:t>
      </w:r>
    </w:p>
    <w:p>
      <w:pPr>
        <w:pBdr>
          <w:bottom w:val="single" w:color="B0C4DE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三、各板块知识脉络详解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b6cb0"/>
          <w:sz w:val="26"/>
          <w:szCs w:val="26"/>
        </w:rPr>
        <w:t xml:space="preserve">板块一：核心价值观与文化（地基）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这是蓝血研究解读华为的底层逻辑，贯穿所有其他板块。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365d"/>
          <w:sz w:val="21"/>
          <w:szCs w:val="21"/>
        </w:rPr>
        <w:t xml:space="preserve">核心命题：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华为文化的本质是什么？为什么能驱动15万人持续奋斗？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华为核心价值观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以客户为中心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以奋斗者为本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长期坚持艰苦奋斗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坚持自我批判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《华为基本法》（1996-1998）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由彭剑锋等人大教授起草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三年讨论统一底层共识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确立核心价值观和战略方向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蓝血绩效文化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彭剑锋定义：本质是“蓝血绩效文化”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“三高机制”：高压力 → 高绩效 → 高回报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驱动知识型劳动者持续创造高绩效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灰度哲学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任正非的核心管理思想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妥协与灰度来自儒家哲学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为所有管理实践提供底层思维支撑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熵减理论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用热力学概念解释组织活力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持续输入负熵对抗组织僵化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与灰度管理形成理论互补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自我批判机制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民主生活会制度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干部述职与360度评估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防止组织固化和官僚化</w:t>
      </w:r>
    </w:p>
    <w:p>
      <w:pPr>
        <w:pBdr>
          <w:bottom w:val="single" w:color="B0C4DE" w:sz="6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b6cb0"/>
          <w:sz w:val="26"/>
          <w:szCs w:val="26"/>
        </w:rPr>
        <w:t xml:space="preserve">板块二：战略管理（方向）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365d"/>
          <w:sz w:val="21"/>
          <w:szCs w:val="21"/>
        </w:rPr>
        <w:t xml:space="preserve">核心命题：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华为如何制定战略？如何在不确定中找到确定性？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BLM（业务领先模型）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2005年从IBM引入，战略思考的核心框架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“五看三定”方法论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五看：宏观、客户、竞争、自身、机会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三定：定控制点、定目标、定策略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双差分析：业绩差距 + 机会差距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DSTE（从战略到执行）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战略规划（SP）到年度经营计划（BP）的闭环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BEM（战略解码模型）支撑落地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红蓝军对抗机制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蓝军：专门唱反调的战略团队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”不打败红军不得升迁”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每季度交换30%成员防止固化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战略决策错误率降低65%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“班长的战争”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任正非推崇美军组织变革理念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目标：组织更轻、更简单、更快</w:t>
      </w:r>
    </w:p>
    <w:p>
      <w:pPr>
        <w:pBdr>
          <w:bottom w:val="single" w:color="B0C4DE" w:sz="6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b6cb0"/>
          <w:sz w:val="26"/>
          <w:szCs w:val="26"/>
        </w:rPr>
        <w:t xml:space="preserve">板块三：人力资源管理（动力引擎）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这是蓝血研究最核心、最系统的研究领域，也是《华为奋斗密码》的主体。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365d"/>
          <w:sz w:val="21"/>
          <w:szCs w:val="21"/>
        </w:rPr>
        <w:t xml:space="preserve">核心命题：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华为如何让“奋斗者”源源不断？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a365d"/>
          <w:sz w:val="22"/>
          <w:szCs w:val="22"/>
        </w:rPr>
        <w:t xml:space="preserve">上层：价值管理（Why &amp; What）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价值创造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 — 全力创造价值是一切管理的起点，客户价值为锚点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价值评价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 — 科学评价贡献，解决“评得准”的问题，贡献导向而非资历导向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价值分配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 — 合理分配价值，形成正循环：创造 → 评价 → 分配 → 再创造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a365d"/>
          <w:sz w:val="22"/>
          <w:szCs w:val="22"/>
        </w:rPr>
        <w:t xml:space="preserve">中层：要素管理（Who &amp; How）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组织管理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 — 流程化组织设计，客户导向的组织架构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干部管理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 — 选拔制 + 淘汰制 + 三权分立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干部四力：决断力、执行力、理解力、人际连接力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“饥饿感-危机感-使命感”三层驱动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人才管理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 — 差异化薪酬、竞争上岗、人才激活机制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7.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文化管理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 — 文化如何落地为行为，价值观考核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a365d"/>
          <w:sz w:val="22"/>
          <w:szCs w:val="22"/>
        </w:rPr>
        <w:t xml:space="preserve">下层：体系管理（System）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8.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HR三支柱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HRBP（业务伙伴）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HRCOE（领域专家）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HRSSC（共享服务中心）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a365d"/>
          <w:sz w:val="22"/>
          <w:szCs w:val="22"/>
        </w:rPr>
        <w:t xml:space="preserve">激励机制专题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9.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股权激励九大机制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 — “共筑梦想、共享权力、共担责任、共享利益”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10.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薪酬结构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 — 工资、奖金、分红、特别奖金、艰苦补贴、离家补贴；分红占员工收入30%以上</w:t>
      </w:r>
    </w:p>
    <w:p>
      <w:pPr>
        <w:pBdr>
          <w:bottom w:val="single" w:color="B0C4DE" w:sz="6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b6cb0"/>
          <w:sz w:val="26"/>
          <w:szCs w:val="26"/>
        </w:rPr>
        <w:t xml:space="preserve">板块四：流程与变革管理（骨架）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365d"/>
          <w:sz w:val="21"/>
          <w:szCs w:val="21"/>
        </w:rPr>
        <w:t xml:space="preserve">核心命题：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华为如何从“人治”走向“法治”？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a365d"/>
          <w:sz w:val="22"/>
          <w:szCs w:val="22"/>
        </w:rPr>
        <w:t xml:space="preserve">华为流程体系全景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rPr>
          <w:tblHeader/>
        </w:trPr>
        <w:tc>
          <w:tcPr>
            <w:tcW w:type="dxa" w:w="1200"/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流程</w:t>
            </w:r>
          </w:p>
        </w:tc>
        <w:tc>
          <w:tcPr>
            <w:tcW w:type="dxa" w:w="2400"/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全称</w:t>
            </w:r>
          </w:p>
        </w:tc>
        <w:tc>
          <w:tcPr>
            <w:tcW w:type="dxa" w:w="5400"/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12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IPD</w:t>
            </w:r>
          </w:p>
        </w:tc>
        <w:tc>
          <w:tcPr>
            <w:tcW w:type="dxa" w:w="24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集成产品开发</w:t>
            </w:r>
          </w:p>
        </w:tc>
        <w:tc>
          <w:tcPr>
            <w:tcW w:type="dxa" w:w="54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从概念到产品上市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LTC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线索到回款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从市场线索到收款</w:t>
            </w:r>
          </w:p>
        </w:tc>
      </w:tr>
      <w:tr>
        <w:tc>
          <w:tcPr>
            <w:tcW w:type="dxa" w:w="12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ISC/ISC+</w:t>
            </w:r>
          </w:p>
        </w:tc>
        <w:tc>
          <w:tcPr>
            <w:tcW w:type="dxa" w:w="24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集成供应链</w:t>
            </w:r>
          </w:p>
        </w:tc>
        <w:tc>
          <w:tcPr>
            <w:tcW w:type="dxa" w:w="54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从采购到交付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IFS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集成财经服务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业财融合</w:t>
            </w:r>
          </w:p>
        </w:tc>
      </w:tr>
      <w:tr>
        <w:tc>
          <w:tcPr>
            <w:tcW w:type="dxa" w:w="12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MTL</w:t>
            </w:r>
          </w:p>
        </w:tc>
        <w:tc>
          <w:tcPr>
            <w:tcW w:type="dxa" w:w="24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市场到线索</w:t>
            </w:r>
          </w:p>
        </w:tc>
        <w:tc>
          <w:tcPr>
            <w:tcW w:type="dxa" w:w="5400"/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市场洞察到销售线索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ITR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问题到解决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20"/>
                <w:szCs w:val="20"/>
              </w:rPr>
              <w:t xml:space="preserve">售后服务闭环</w:t>
            </w:r>
          </w:p>
        </w:tc>
      </w:tr>
    </w:tbl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a365d"/>
          <w:sz w:val="22"/>
          <w:szCs w:val="22"/>
        </w:rPr>
        <w:t xml:space="preserve">IPD变革（核心中的核心）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1999年从IBM引入，15年持续推进的制度化过程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蓝血十杰夏忠毅：IPD变革的7条重要经验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通过干部政策推动变革固化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a365d"/>
          <w:sz w:val="22"/>
          <w:szCs w:val="22"/>
        </w:rPr>
        <w:t xml:space="preserve">变革管理方法论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任正非的“三段论”：世界上最难的改革是革自己的命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先僵化、后优化、再固化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将变革成果制度化，融入企业文化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a365d"/>
          <w:sz w:val="22"/>
          <w:szCs w:val="22"/>
        </w:rPr>
        <w:t xml:space="preserve">数字化转型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ISC+ 数字化供应链（2016年启动）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“战略-流程-组织-数据-技术”五位一体架构</w:t>
      </w:r>
    </w:p>
    <w:p>
      <w:pPr>
        <w:pBdr>
          <w:bottom w:val="single" w:color="B0C4DE" w:sz="6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b6cb0"/>
          <w:sz w:val="26"/>
          <w:szCs w:val="26"/>
        </w:rPr>
        <w:t xml:space="preserve">板块五：财经管理（血液与制衡）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这是《华为财经密码》的核心内容。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365d"/>
          <w:sz w:val="21"/>
          <w:szCs w:val="21"/>
        </w:rPr>
        <w:t xml:space="preserve">核心命题：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财经如何支撑商业成功并管控风险？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财经四大核心思想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追求长期有效增长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追求有利润的收入，有现金流的利润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业务为主导，财经为监督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成为值得信赖的伙伴和价值整合者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业财融合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 — 财经从“记账员”转型为战略决策核心支撑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IFS集成财经体系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 — 把企业的账算清楚，把命握手里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利润管控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 — 华为控制利润率在7-8%，剩余投入研发</w:t>
      </w:r>
    </w:p>
    <w:p>
      <w:pPr>
        <w:pBdr>
          <w:bottom w:val="single" w:color="B0C4DE" w:sz="6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b6cb0"/>
          <w:sz w:val="26"/>
          <w:szCs w:val="26"/>
        </w:rPr>
        <w:t xml:space="preserve">板块六：营销与客户管理（前线触角）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365d"/>
          <w:sz w:val="21"/>
          <w:szCs w:val="21"/>
        </w:rPr>
        <w:t xml:space="preserve">核心命题：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华为如何赢得客户？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LTC流程（从线索到回款）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 — 管理线索、机会点、合同执行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铁三角组织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客户经理（AR）+ 解决方案经理（SR）+ 交付经理（FR）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面向客户的最小作战单元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不仅是流程重构，更是组织重构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以客户为中心的组织设计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 — 平台 + 铁三角运营模式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客户关系管理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 — 从战略客户到普遍客户的分层管理</w:t>
      </w:r>
    </w:p>
    <w:p>
      <w:pPr>
        <w:pBdr>
          <w:bottom w:val="single" w:color="B0C4DE" w:sz="6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b6cb0"/>
          <w:sz w:val="26"/>
          <w:szCs w:val="26"/>
        </w:rPr>
        <w:t xml:space="preserve">板块七：组织与领导力（肌肉与执行）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365d"/>
          <w:sz w:val="21"/>
          <w:szCs w:val="21"/>
        </w:rPr>
        <w:t xml:space="preserve">核心命题：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华为如何打造能打胜仗的组织？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组织活力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 — 熵减：持续输入负熵对抗组织僵化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人才流动：末位淘汰与内部轮岗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“没有英雄的公司是最好的公司”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干部九条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 — 干部选拔与淘汰标准，三权分立防止权力垄断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组织形态演进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从职能型到流程型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从中央集权到“听得见炮声的人做决策”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平台化 + 项目型组织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华为蓝血十杰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 — 华为内部评选的管理变革功臣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代表人物：夏忠毅（IPD）、胡赛雄（组织管理）等</w:t>
      </w:r>
    </w:p>
    <w:p>
      <w:pPr>
        <w:pBdr>
          <w:bottom w:val="single" w:color="B0C4DE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四、知识脉络之间的关联逻辑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蓝血研究对华为的解读有一条清晰的内在逻辑链：</w:t>
      </w:r>
    </w:p>
    <w:p>
      <w:pPr>
        <w:spacing w:before="160"/>
      </w:pPr>
    </w:p>
    <w:p>
      <w:pPr>
        <w:shd w:fill="EBF4FF" w:val="clear"/>
        <w:spacing w:after="0" w:before="40"/>
        <w:jc w:val="center"/>
      </w:pPr>
      <w:r>
        <w:rPr>
          <w:rFonts w:ascii="Microsoft YaHei" w:cs="Microsoft YaHei" w:eastAsia="Microsoft YaHei" w:hAnsi="Microsoft YaHei"/>
          <w:b/>
          <w:bCs/>
          <w:color w:val="1a365d"/>
          <w:sz w:val="22"/>
          <w:szCs w:val="22"/>
        </w:rPr>
        <w:t xml:space="preserve">文化与价值观</w:t>
      </w:r>
      <w:r>
        <w:rPr>
          <w:rFonts w:ascii="Microsoft YaHei" w:cs="Microsoft YaHei" w:eastAsia="Microsoft YaHei" w:hAnsi="Microsoft YaHei"/>
          <w:color w:val="4a5568"/>
          <w:sz w:val="20"/>
          <w:szCs w:val="20"/>
        </w:rPr>
        <w:t xml:space="preserve">  (为什么奋斗)</w:t>
      </w:r>
    </w:p>
    <w:p>
      <w:pPr>
        <w:spacing w:after="0" w:before="0"/>
        <w:jc w:val="center"/>
      </w:pPr>
      <w:r>
        <w:rPr>
          <w:rFonts w:ascii="Consolas" w:cs="Consolas" w:eastAsia="Consolas" w:hAnsi="Consolas"/>
          <w:color w:val="2b6cb0"/>
          <w:sz w:val="20"/>
          <w:szCs w:val="20"/>
        </w:rPr>
        <w:t xml:space="preserve">▼</w:t>
      </w:r>
    </w:p>
    <w:p>
      <w:pPr>
        <w:shd w:fill="EBF4FF" w:val="clear"/>
        <w:spacing w:after="0" w:before="40"/>
        <w:jc w:val="center"/>
      </w:pPr>
      <w:r>
        <w:rPr>
          <w:rFonts w:ascii="Microsoft YaHei" w:cs="Microsoft YaHei" w:eastAsia="Microsoft YaHei" w:hAnsi="Microsoft YaHei"/>
          <w:b/>
          <w:bCs/>
          <w:color w:val="1a365d"/>
          <w:sz w:val="22"/>
          <w:szCs w:val="22"/>
        </w:rPr>
        <w:t xml:space="preserve">战略管理</w:t>
      </w:r>
      <w:r>
        <w:rPr>
          <w:rFonts w:ascii="Microsoft YaHei" w:cs="Microsoft YaHei" w:eastAsia="Microsoft YaHei" w:hAnsi="Microsoft YaHei"/>
          <w:color w:val="4a5568"/>
          <w:sz w:val="20"/>
          <w:szCs w:val="20"/>
        </w:rPr>
        <w:t xml:space="preserve">  (往哪里奋斗)</w:t>
      </w:r>
    </w:p>
    <w:p>
      <w:pPr>
        <w:spacing w:after="0" w:before="0"/>
        <w:jc w:val="center"/>
      </w:pPr>
      <w:r>
        <w:rPr>
          <w:rFonts w:ascii="Consolas" w:cs="Consolas" w:eastAsia="Consolas" w:hAnsi="Consolas"/>
          <w:color w:val="2b6cb0"/>
          <w:sz w:val="20"/>
          <w:szCs w:val="20"/>
        </w:rPr>
        <w:t xml:space="preserve">▼</w:t>
      </w:r>
    </w:p>
    <w:p>
      <w:pPr>
        <w:shd w:fill="EBF4FF" w:val="clear"/>
        <w:spacing w:after="0" w:before="40"/>
        <w:jc w:val="center"/>
      </w:pPr>
      <w:r>
        <w:rPr>
          <w:rFonts w:ascii="Microsoft YaHei" w:cs="Microsoft YaHei" w:eastAsia="Microsoft YaHei" w:hAnsi="Microsoft YaHei"/>
          <w:b/>
          <w:bCs/>
          <w:color w:val="1a365d"/>
          <w:sz w:val="22"/>
          <w:szCs w:val="22"/>
        </w:rPr>
        <w:t xml:space="preserve">人力资源</w:t>
      </w:r>
      <w:r>
        <w:rPr>
          <w:rFonts w:ascii="Microsoft YaHei" w:cs="Microsoft YaHei" w:eastAsia="Microsoft YaHei" w:hAnsi="Microsoft YaHei"/>
          <w:color w:val="4a5568"/>
          <w:sz w:val="20"/>
          <w:szCs w:val="20"/>
        </w:rPr>
        <w:t xml:space="preserve">  (谁来奋斗 + 如何激励)</w:t>
      </w:r>
    </w:p>
    <w:p>
      <w:pPr>
        <w:spacing w:after="0" w:before="0"/>
        <w:jc w:val="center"/>
      </w:pPr>
      <w:r>
        <w:rPr>
          <w:rFonts w:ascii="Consolas" w:cs="Consolas" w:eastAsia="Consolas" w:hAnsi="Consolas"/>
          <w:color w:val="2b6cb0"/>
          <w:sz w:val="20"/>
          <w:szCs w:val="20"/>
        </w:rPr>
        <w:t xml:space="preserve">▼</w:t>
      </w:r>
    </w:p>
    <w:p>
      <w:pPr>
        <w:shd w:fill="EBF4FF" w:val="clear"/>
        <w:spacing w:after="0" w:before="40"/>
        <w:jc w:val="center"/>
      </w:pPr>
      <w:r>
        <w:rPr>
          <w:rFonts w:ascii="Microsoft YaHei" w:cs="Microsoft YaHei" w:eastAsia="Microsoft YaHei" w:hAnsi="Microsoft YaHei"/>
          <w:b/>
          <w:bCs/>
          <w:color w:val="1a365d"/>
          <w:sz w:val="22"/>
          <w:szCs w:val="22"/>
        </w:rPr>
        <w:t xml:space="preserve">流程与变革</w:t>
      </w:r>
      <w:r>
        <w:rPr>
          <w:rFonts w:ascii="Microsoft YaHei" w:cs="Microsoft YaHei" w:eastAsia="Microsoft YaHei" w:hAnsi="Microsoft YaHei"/>
          <w:color w:val="4a5568"/>
          <w:sz w:val="20"/>
          <w:szCs w:val="20"/>
        </w:rPr>
        <w:t xml:space="preserve">  (用什么方法奋斗)</w:t>
      </w:r>
    </w:p>
    <w:p>
      <w:pPr>
        <w:spacing w:after="0" w:before="0"/>
        <w:jc w:val="center"/>
      </w:pPr>
      <w:r>
        <w:rPr>
          <w:rFonts w:ascii="Consolas" w:cs="Consolas" w:eastAsia="Consolas" w:hAnsi="Consolas"/>
          <w:color w:val="2b6cb0"/>
          <w:sz w:val="20"/>
          <w:szCs w:val="20"/>
        </w:rPr>
        <w:t xml:space="preserve">▼</w:t>
      </w:r>
    </w:p>
    <w:p>
      <w:pPr>
        <w:shd w:fill="EBF4FF" w:val="clear"/>
        <w:spacing w:after="0" w:before="40"/>
        <w:jc w:val="center"/>
      </w:pPr>
      <w:r>
        <w:rPr>
          <w:rFonts w:ascii="Microsoft YaHei" w:cs="Microsoft YaHei" w:eastAsia="Microsoft YaHei" w:hAnsi="Microsoft YaHei"/>
          <w:b/>
          <w:bCs/>
          <w:color w:val="1a365d"/>
          <w:sz w:val="22"/>
          <w:szCs w:val="22"/>
        </w:rPr>
        <w:t xml:space="preserve">财经管理</w:t>
      </w:r>
      <w:r>
        <w:rPr>
          <w:rFonts w:ascii="Microsoft YaHei" w:cs="Microsoft YaHei" w:eastAsia="Microsoft YaHei" w:hAnsi="Microsoft YaHei"/>
          <w:color w:val="4a5568"/>
          <w:sz w:val="20"/>
          <w:szCs w:val="20"/>
        </w:rPr>
        <w:t xml:space="preserve">  (奋斗的成果如何衡量与制衡)</w:t>
      </w:r>
    </w:p>
    <w:p>
      <w:pPr>
        <w:spacing w:after="0" w:before="0"/>
        <w:jc w:val="center"/>
      </w:pPr>
      <w:r>
        <w:rPr>
          <w:rFonts w:ascii="Consolas" w:cs="Consolas" w:eastAsia="Consolas" w:hAnsi="Consolas"/>
          <w:color w:val="2b6cb0"/>
          <w:sz w:val="20"/>
          <w:szCs w:val="20"/>
        </w:rPr>
        <w:t xml:space="preserve">▼</w:t>
      </w:r>
    </w:p>
    <w:p>
      <w:pPr>
        <w:shd w:fill="EBF4FF" w:val="clear"/>
        <w:spacing w:after="0" w:before="40"/>
        <w:jc w:val="center"/>
      </w:pPr>
      <w:r>
        <w:rPr>
          <w:rFonts w:ascii="Microsoft YaHei" w:cs="Microsoft YaHei" w:eastAsia="Microsoft YaHei" w:hAnsi="Microsoft YaHei"/>
          <w:b/>
          <w:bCs/>
          <w:color w:val="1a365d"/>
          <w:sz w:val="22"/>
          <w:szCs w:val="22"/>
        </w:rPr>
        <w:t xml:space="preserve">营销与客户</w:t>
      </w:r>
      <w:r>
        <w:rPr>
          <w:rFonts w:ascii="Microsoft YaHei" w:cs="Microsoft YaHei" w:eastAsia="Microsoft YaHei" w:hAnsi="Microsoft YaHei"/>
          <w:color w:val="4a5568"/>
          <w:sz w:val="20"/>
          <w:szCs w:val="20"/>
        </w:rPr>
        <w:t xml:space="preserve">  (为谁奋斗 → 回到“以客户为中心”)</w:t>
      </w:r>
    </w:p>
    <w:p>
      <w:pPr>
        <w:spacing w:after="0" w:before="0"/>
        <w:jc w:val="center"/>
      </w:pPr>
      <w:r>
        <w:rPr>
          <w:rFonts w:ascii="Consolas" w:cs="Consolas" w:eastAsia="Consolas" w:hAnsi="Consolas"/>
          <w:color w:val="2b6cb0"/>
          <w:sz w:val="20"/>
          <w:szCs w:val="20"/>
        </w:rPr>
        <w:t xml:space="preserve">▼</w:t>
      </w:r>
    </w:p>
    <w:p>
      <w:pPr>
        <w:shd w:fill="EBF4FF" w:val="clear"/>
        <w:spacing w:after="0" w:before="40"/>
        <w:jc w:val="center"/>
      </w:pPr>
      <w:r>
        <w:rPr>
          <w:rFonts w:ascii="Microsoft YaHei" w:cs="Microsoft YaHei" w:eastAsia="Microsoft YaHei" w:hAnsi="Microsoft YaHei"/>
          <w:b/>
          <w:bCs/>
          <w:color w:val="1a365d"/>
          <w:sz w:val="22"/>
          <w:szCs w:val="22"/>
        </w:rPr>
        <w:t xml:space="preserve">组织与领导力</w:t>
      </w:r>
      <w:r>
        <w:rPr>
          <w:rFonts w:ascii="Microsoft YaHei" w:cs="Microsoft YaHei" w:eastAsia="Microsoft YaHei" w:hAnsi="Microsoft YaHei"/>
          <w:color w:val="4a5568"/>
          <w:sz w:val="20"/>
          <w:szCs w:val="20"/>
        </w:rPr>
        <w:t xml:space="preserve">  (如何让组织持续有活力地奋斗)</w:t>
      </w:r>
    </w:p>
    <w:p>
      <w:pPr>
        <w:spacing w:after="0" w:before="0"/>
        <w:jc w:val="center"/>
      </w:pPr>
      <w:r>
        <w:rPr>
          <w:rFonts w:ascii="Microsoft YaHei" w:cs="Microsoft YaHei" w:eastAsia="Microsoft YaHei" w:hAnsi="Microsoft YaHei"/>
          <w:color w:val="2b6cb0"/>
          <w:sz w:val="20"/>
          <w:szCs w:val="20"/>
        </w:rPr>
        <w:t xml:space="preserve">↻ 循环回到文化与价值观</w:t>
      </w:r>
    </w:p>
    <w:p>
      <w:pPr>
        <w:spacing w:before="20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365d"/>
          <w:sz w:val="21"/>
          <w:szCs w:val="21"/>
        </w:rPr>
        <w:t xml:space="preserve">蓝血研究的核心洞察：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华为管理体系不是一堆零散的工具和方法，而是一个以“价值创造-价值评价-价值分配”为内核、以核心价值观为灵魂的自洽系统。杨爱国将其概括为“双链结构”——必须找准为客户提供服务这个靶点（价值链），并通过培养奋斗者来践行文化（人才链）。</w:t>
      </w:r>
    </w:p>
    <w:p>
      <w:pPr>
        <w:pBdr>
          <w:bottom w:val="single" w:color="B0C4DE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五、研究局限与补充说明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微信公众号文章无法直接批量获取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：微信生态封闭，公众号历史文章只能在微信App内浏览，外部搜索引擎能索引到的只是冰山一角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本梳理基于公开可检索内容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：包括蓝血研究的出版著作、被转载的文章、搜索引擎收录的内容，以及蓝血研究院的公开介绍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b6cb0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202c"/>
          <w:sz w:val="21"/>
          <w:szCs w:val="21"/>
        </w:rPr>
        <w:t xml:space="preserve">建议补充方式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：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在微信中关注“蓝血研究”公众号，查看历史消息获取完整文章列表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阅读杨爱国的三本核心著作获取系统化知识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b6cb0"/>
          <w:sz w:val="21"/>
          <w:szCs w:val="21"/>
        </w:rPr>
        <w:t xml:space="preserve">  •  </w:t>
      </w:r>
      <w:r>
        <w:rPr>
          <w:rFonts w:ascii="Microsoft YaHei" w:cs="Microsoft YaHei" w:eastAsia="Microsoft YaHei" w:hAnsi="Microsoft YaHei"/>
          <w:color w:val="1a202c"/>
          <w:sz w:val="21"/>
          <w:szCs w:val="21"/>
        </w:rPr>
        <w:t xml:space="preserve">关注蓝血研究院的培训课程体系了解最新内容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4a5568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4a556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4a5568"/>
        <w:sz w:val="16"/>
        <w:szCs w:val="16"/>
      </w:rPr>
      <w:t xml:space="preserve">蓝血研究  |  华为知识脉络体系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2026-07-24T16:32:32.690Z</dcterms:created>
  <dcterms:modified xsi:type="dcterms:W3CDTF">2026-07-24T16:32:32.690Z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